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D4115" w14:textId="5EB38EB7" w:rsidR="00E203C2" w:rsidRPr="00DD6322" w:rsidRDefault="00E203C2" w:rsidP="00E203C2">
      <w:r w:rsidRPr="00DD6322">
        <w:rPr>
          <w:noProof/>
          <w:lang w:eastAsia="en-GB" w:bidi="ar-SA"/>
        </w:rPr>
        <w:drawing>
          <wp:inline distT="0" distB="0" distL="0" distR="0" wp14:anchorId="0BA12ACE" wp14:editId="2976E876">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1466BA11" w14:textId="77777777" w:rsidR="00E203C2" w:rsidRPr="00DD6322" w:rsidRDefault="00E203C2" w:rsidP="00E203C2"/>
    <w:p w14:paraId="7C00F312" w14:textId="725B432B" w:rsidR="00F264B0" w:rsidRPr="00DD6322" w:rsidRDefault="00F264B0" w:rsidP="00F264B0">
      <w:pPr>
        <w:pStyle w:val="FSTitle"/>
        <w:rPr>
          <w:b/>
        </w:rPr>
      </w:pPr>
      <w:r w:rsidRPr="00DD6322">
        <w:rPr>
          <w:b/>
          <w:bCs w:val="0"/>
        </w:rPr>
        <w:t xml:space="preserve"> </w:t>
      </w:r>
      <w:r w:rsidRPr="00DD6322">
        <w:rPr>
          <w:b/>
        </w:rPr>
        <w:t>Supporting document 4</w:t>
      </w:r>
    </w:p>
    <w:p w14:paraId="4B79FC97" w14:textId="77777777" w:rsidR="00F264B0" w:rsidRPr="00F264B0" w:rsidRDefault="00F264B0" w:rsidP="00F264B0"/>
    <w:p w14:paraId="21DBFADC" w14:textId="77777777" w:rsidR="00F264B0" w:rsidRPr="00F264B0" w:rsidRDefault="00F264B0" w:rsidP="00F264B0">
      <w:pPr>
        <w:rPr>
          <w:sz w:val="32"/>
        </w:rPr>
      </w:pPr>
      <w:r w:rsidRPr="00F264B0">
        <w:rPr>
          <w:sz w:val="32"/>
        </w:rPr>
        <w:t>Analysis of control measures and market information – Proposal P1034</w:t>
      </w:r>
    </w:p>
    <w:p w14:paraId="0F3380C6" w14:textId="77777777" w:rsidR="00F264B0" w:rsidRPr="00F264B0" w:rsidRDefault="00F264B0" w:rsidP="00F264B0"/>
    <w:p w14:paraId="45DFDDE8" w14:textId="77777777" w:rsidR="00F264B0" w:rsidRPr="00F264B0" w:rsidRDefault="00F264B0" w:rsidP="00F264B0">
      <w:pPr>
        <w:rPr>
          <w:sz w:val="32"/>
        </w:rPr>
      </w:pPr>
      <w:r w:rsidRPr="00F264B0">
        <w:rPr>
          <w:sz w:val="32"/>
        </w:rPr>
        <w:t>Chemical Migration from Packaging into Food</w:t>
      </w:r>
    </w:p>
    <w:p w14:paraId="3850ED0A" w14:textId="77777777" w:rsidR="00F264B0" w:rsidRPr="00F264B0" w:rsidRDefault="00F264B0" w:rsidP="00F264B0">
      <w:pPr>
        <w:pBdr>
          <w:bottom w:val="single" w:sz="12" w:space="1" w:color="auto"/>
        </w:pBdr>
        <w:spacing w:line="280" w:lineRule="exact"/>
        <w:rPr>
          <w:rFonts w:cs="Arial"/>
          <w:bCs/>
        </w:rPr>
      </w:pPr>
    </w:p>
    <w:p w14:paraId="13A277B8" w14:textId="77777777" w:rsidR="00F264B0" w:rsidRPr="00F264B0" w:rsidRDefault="00F264B0" w:rsidP="00F264B0">
      <w:pPr>
        <w:keepNext/>
        <w:widowControl/>
        <w:ind w:left="851" w:hanging="851"/>
        <w:outlineLvl w:val="0"/>
        <w:rPr>
          <w:rFonts w:eastAsiaTheme="majorEastAsia" w:cstheme="majorBidi"/>
          <w:b/>
          <w:bCs/>
          <w:szCs w:val="28"/>
          <w:lang w:bidi="ar-SA"/>
        </w:rPr>
      </w:pPr>
      <w:bookmarkStart w:id="0" w:name="_Toc425427908"/>
      <w:bookmarkStart w:id="1" w:name="_Toc425497978"/>
    </w:p>
    <w:p w14:paraId="5AD79493" w14:textId="77777777" w:rsidR="00F264B0" w:rsidRPr="00DD6322" w:rsidRDefault="00F264B0" w:rsidP="00F264B0">
      <w:pPr>
        <w:pStyle w:val="Heading1"/>
      </w:pPr>
      <w:r w:rsidRPr="00DD6322">
        <w:t>1</w:t>
      </w:r>
      <w:r w:rsidRPr="00DD6322">
        <w:tab/>
        <w:t>Control measures</w:t>
      </w:r>
      <w:bookmarkEnd w:id="0"/>
      <w:bookmarkEnd w:id="1"/>
    </w:p>
    <w:p w14:paraId="1B6BB73A" w14:textId="77777777" w:rsidR="00F264B0" w:rsidRPr="00F264B0" w:rsidRDefault="00F264B0" w:rsidP="00F264B0">
      <w:r w:rsidRPr="00F264B0">
        <w:t>FSANZ determined the range of control measures and uptake by different industry sectors through consultation with a broad range of industry stakeholders</w:t>
      </w:r>
      <w:r w:rsidRPr="00F264B0">
        <w:rPr>
          <w:vertAlign w:val="superscript"/>
        </w:rPr>
        <w:footnoteReference w:id="1"/>
      </w:r>
      <w:r w:rsidRPr="00F264B0">
        <w:t>. A summary of the outcomes of consultations is presented in Table 1.</w:t>
      </w:r>
    </w:p>
    <w:p w14:paraId="0E60EE29" w14:textId="77777777" w:rsidR="00F264B0" w:rsidRPr="00F264B0" w:rsidRDefault="00F264B0" w:rsidP="00F264B0">
      <w:r w:rsidRPr="00F264B0">
        <w:t xml:space="preserve">  </w:t>
      </w:r>
    </w:p>
    <w:p w14:paraId="379D5650" w14:textId="77777777" w:rsidR="00F264B0" w:rsidRPr="00F264B0" w:rsidRDefault="00F264B0" w:rsidP="00F264B0">
      <w:r w:rsidRPr="00F264B0">
        <w:t>FSANZ collated 78 responses through surveys and direct consultations with a broad range of businesses spanning the packaging supply chain. Of the responses received, the majority were from food manufacturers/importers/brand owners (n=51). This response may well be a reflection of FSANZ’s reach in addition to the understandably greater interest and knowledge of food standards and safety issues shown by this industry sector. However, FSANZ also took steps to reach out to other members of the packaging supply chain including small to medium enterprises (SMEs) in different sectors.</w:t>
      </w:r>
    </w:p>
    <w:p w14:paraId="2A05167A" w14:textId="77777777" w:rsidR="00F264B0" w:rsidRPr="00F264B0" w:rsidRDefault="00F264B0" w:rsidP="00F264B0"/>
    <w:p w14:paraId="203C10E0" w14:textId="77777777" w:rsidR="00F264B0" w:rsidRPr="00F264B0" w:rsidRDefault="00F264B0" w:rsidP="00F264B0">
      <w:r w:rsidRPr="00F264B0">
        <w:t>Table 1 presents the percentage uptake of regulatory and non-regulatory control measures respectively for raw material suppliers, packaging manufacturers, food manufacturers and food service businesses. All businesses reported that they comply with more than one type of control measure</w:t>
      </w:r>
      <w:r w:rsidRPr="00DD6322">
        <w:rPr>
          <w:vertAlign w:val="superscript"/>
        </w:rPr>
        <w:footnoteReference w:id="2"/>
      </w:r>
      <w:r w:rsidRPr="00F264B0">
        <w:t>. Overall, the uptake of EU and US regulations was very similar and significantly higher than mention of Australian/New Zealand regulations</w:t>
      </w:r>
      <w:r w:rsidRPr="00DD6322">
        <w:rPr>
          <w:vertAlign w:val="superscript"/>
        </w:rPr>
        <w:footnoteReference w:id="3"/>
      </w:r>
      <w:r w:rsidRPr="00F264B0">
        <w:t>.</w:t>
      </w:r>
    </w:p>
    <w:p w14:paraId="3B6030F3" w14:textId="77777777" w:rsidR="00F264B0" w:rsidRPr="00F264B0" w:rsidRDefault="00F264B0" w:rsidP="00F264B0"/>
    <w:p w14:paraId="7442B05E" w14:textId="77777777" w:rsidR="00F264B0" w:rsidRPr="00F264B0" w:rsidRDefault="00F264B0" w:rsidP="00F264B0">
      <w:r w:rsidRPr="00F264B0">
        <w:t>All raw material suppliers who responded to the surveys reported they comply with EU and US regulations and 70% comply with Australian/New Zealand regulations. They also comply 100% with Good Manufacturing Practices (GMP) and with a broad range of other non-regulatory measures (50% comply with AS 2070-1999) and stated that they have comprehensive QA/QC management plans in place. It is inferred from responses that these QA/QC plans include a general packaging/food safety component.</w:t>
      </w:r>
    </w:p>
    <w:p w14:paraId="3D74FB09" w14:textId="77777777" w:rsidR="00F264B0" w:rsidRPr="00F264B0" w:rsidRDefault="00F264B0" w:rsidP="00F264B0"/>
    <w:p w14:paraId="4BCF6FE5" w14:textId="77777777" w:rsidR="00F264B0" w:rsidRPr="00F264B0" w:rsidRDefault="00F264B0" w:rsidP="00F264B0">
      <w:r w:rsidRPr="00F264B0">
        <w:t>Almost all packaging manufacturers/converters reported compliance with EU and US regulations and &gt;60% comply with Australian/New Zealand regulations and other overseas regulations. More than half of the packaging manufacturers responded that they comply with a range of non-regulatory measures and &gt;70% have an audited QA/QC program.</w:t>
      </w:r>
    </w:p>
    <w:p w14:paraId="7004860C" w14:textId="77777777" w:rsidR="00F264B0" w:rsidRPr="00F264B0" w:rsidRDefault="00F264B0" w:rsidP="00F264B0">
      <w:r w:rsidRPr="00F264B0">
        <w:br w:type="page"/>
      </w:r>
    </w:p>
    <w:p w14:paraId="78975CBD" w14:textId="77777777" w:rsidR="00F264B0" w:rsidRPr="00F264B0" w:rsidRDefault="00F264B0" w:rsidP="00F264B0">
      <w:r w:rsidRPr="00F264B0">
        <w:lastRenderedPageBreak/>
        <w:t>Food manufacturers reported uptake mainly of Australian/New Zealand regulations, whereas only 40</w:t>
      </w:r>
      <w:r w:rsidRPr="00F264B0">
        <w:sym w:font="Symbol" w:char="F02D"/>
      </w:r>
      <w:r w:rsidRPr="00F264B0">
        <w:t>50% refer to EU and US regulations. Only 20 % of food businesses reported uptake of non-regulatory control measures, though 75% had an audited QA/QC program.</w:t>
      </w:r>
    </w:p>
    <w:p w14:paraId="61CDAB87" w14:textId="77777777" w:rsidR="00F264B0" w:rsidRPr="00F264B0" w:rsidRDefault="00F264B0" w:rsidP="00F264B0"/>
    <w:p w14:paraId="2A3A5766" w14:textId="77777777" w:rsidR="00F264B0" w:rsidRPr="00F264B0" w:rsidRDefault="00F264B0" w:rsidP="00F264B0">
      <w:r w:rsidRPr="00F264B0">
        <w:t xml:space="preserve">Of the food service businesses that responded to the surveys, 60% reported uptake of Australian/New Zealand regulations and only 20% reported uptake of EU/US regulations and non-regulatory control measures. In total, 40% of food service businesses reported that they relied solely on supplier assurance regarding information on CMPF. </w:t>
      </w:r>
    </w:p>
    <w:p w14:paraId="1B37B97A" w14:textId="77777777" w:rsidR="00F264B0" w:rsidRPr="00DD6322" w:rsidRDefault="00F264B0" w:rsidP="00F264B0">
      <w:pPr>
        <w:pStyle w:val="Heading2"/>
      </w:pPr>
      <w:r w:rsidRPr="00DD6322">
        <w:t>1.1</w:t>
      </w:r>
      <w:r w:rsidRPr="00DD6322">
        <w:tab/>
        <w:t xml:space="preserve">Consultation with small-to-medium enterprises </w:t>
      </w:r>
    </w:p>
    <w:p w14:paraId="43D3337E" w14:textId="77777777" w:rsidR="00F264B0" w:rsidRPr="00F264B0" w:rsidRDefault="00F264B0" w:rsidP="00DD6322">
      <w:pPr>
        <w:ind w:right="-286"/>
        <w:contextualSpacing/>
      </w:pPr>
      <w:r w:rsidRPr="00F264B0">
        <w:rPr>
          <w:rFonts w:cs="Arial"/>
        </w:rPr>
        <w:t>Following initial survey outcomes, it was evident that there were some gaps in FSANZ’s knowledge regarding SMEs</w:t>
      </w:r>
      <w:r w:rsidRPr="00F264B0">
        <w:rPr>
          <w:rFonts w:cs="Arial"/>
          <w:vertAlign w:val="superscript"/>
        </w:rPr>
        <w:footnoteReference w:id="4"/>
      </w:r>
      <w:r w:rsidRPr="00F264B0">
        <w:rPr>
          <w:rFonts w:cs="Arial"/>
        </w:rPr>
        <w:t xml:space="preserve"> in the different industry sectors and their respective approaches to CMPF. The importance of SMEs in the range of business sectors cannot be underestimated in terms of their representation; a point also corroborated by submissions to the November 2014 consultation paper for P1034</w:t>
      </w:r>
      <w:r w:rsidRPr="00DD6322">
        <w:rPr>
          <w:rFonts w:cs="Arial"/>
          <w:vertAlign w:val="superscript"/>
        </w:rPr>
        <w:footnoteReference w:id="5"/>
      </w:r>
      <w:r w:rsidRPr="00F264B0">
        <w:rPr>
          <w:rFonts w:cs="Arial"/>
        </w:rPr>
        <w:t xml:space="preserve"> (see summary of submissions in SD7). FSANZ prepared a survey to target </w:t>
      </w:r>
      <w:r w:rsidRPr="00F264B0">
        <w:t xml:space="preserve">SMEs. It appears </w:t>
      </w:r>
      <w:r w:rsidRPr="00F264B0">
        <w:rPr>
          <w:rFonts w:cs="Arial"/>
        </w:rPr>
        <w:t>there is a broad spectrum of knowledge about CMPF amongst SMEs consulted (n=32) ranging from businesses that have no awareness and no control measures in place, to those with knowledge of the issue and specific control measures in place. The majority of businesses surveyed show some level of awareness of CMPF and have (as a minimum) basic control measures in place (e.g. HACCP). However, uptake of HACCP does not provide assurance of control of CMPF if there is no concomitant food packaging supply chain assurance.</w:t>
      </w:r>
      <w:r w:rsidRPr="00F264B0">
        <w:t xml:space="preserve"> The key message from the SME analysis was that there is significant reliance on through-chain stewardship and trusted suppliers.</w:t>
      </w:r>
    </w:p>
    <w:p w14:paraId="186B4F21" w14:textId="77777777" w:rsidR="00F264B0" w:rsidRPr="00F264B0" w:rsidRDefault="00F264B0" w:rsidP="00F264B0">
      <w:pPr>
        <w:contextualSpacing/>
      </w:pPr>
    </w:p>
    <w:p w14:paraId="67C75D1C" w14:textId="77777777" w:rsidR="00F264B0" w:rsidRPr="00DD6322" w:rsidRDefault="00F264B0" w:rsidP="00F264B0">
      <w:pPr>
        <w:pStyle w:val="Heading1"/>
      </w:pPr>
      <w:bookmarkStart w:id="2" w:name="_Toc425427907"/>
      <w:bookmarkStart w:id="3" w:name="_Toc425497977"/>
      <w:r w:rsidRPr="00DD6322">
        <w:t>2</w:t>
      </w:r>
      <w:r w:rsidRPr="00DD6322">
        <w:tab/>
        <w:t>Market information</w:t>
      </w:r>
      <w:bookmarkEnd w:id="2"/>
      <w:bookmarkEnd w:id="3"/>
    </w:p>
    <w:p w14:paraId="664BD6E2" w14:textId="77777777" w:rsidR="00F264B0" w:rsidRPr="00F264B0" w:rsidRDefault="00F264B0" w:rsidP="00F264B0">
      <w:r w:rsidRPr="00F264B0">
        <w:t>Information on market size and segmentation</w:t>
      </w:r>
      <w:r w:rsidRPr="00F264B0">
        <w:rPr>
          <w:vertAlign w:val="superscript"/>
        </w:rPr>
        <w:footnoteReference w:id="6"/>
      </w:r>
      <w:r w:rsidRPr="00F264B0">
        <w:t xml:space="preserve"> has been considered in the residual risk model to form an understanding of market share and competitive forces (e.g. import of empty packaging) on the manufacture of different types of packaging materials. </w:t>
      </w:r>
    </w:p>
    <w:p w14:paraId="067F8288" w14:textId="77777777" w:rsidR="00F264B0" w:rsidRPr="00F264B0" w:rsidRDefault="00F264B0" w:rsidP="00F264B0"/>
    <w:p w14:paraId="64BF5A7E" w14:textId="77777777" w:rsidR="00F264B0" w:rsidRPr="00F264B0" w:rsidRDefault="00F264B0" w:rsidP="00F264B0">
      <w:r w:rsidRPr="00F264B0">
        <w:t xml:space="preserve">Table 2 provides market share information on the main materials used in the manufacture of packaging in Australia. Data on the number of businesses manufacturing each type of material is reported, together with the number of main manufacturers of each material and their respective market share. This information represents the manufacture of </w:t>
      </w:r>
      <w:r w:rsidRPr="00F264B0">
        <w:rPr>
          <w:i/>
        </w:rPr>
        <w:t>all</w:t>
      </w:r>
      <w:r w:rsidRPr="00F264B0">
        <w:t xml:space="preserve"> packaging material in Australia; food and beverage packaging accounted for approximately 23.2% of all packaging services in Australia in 2014-15 (revenue = $1.4b)</w:t>
      </w:r>
      <w:r w:rsidRPr="00DD6322">
        <w:rPr>
          <w:vertAlign w:val="superscript"/>
        </w:rPr>
        <w:footnoteReference w:id="7"/>
      </w:r>
      <w:r w:rsidRPr="00F264B0">
        <w:t xml:space="preserve">. </w:t>
      </w:r>
    </w:p>
    <w:p w14:paraId="1BFF91BB" w14:textId="77777777" w:rsidR="00F264B0" w:rsidRPr="00F264B0" w:rsidRDefault="00F264B0" w:rsidP="00F264B0"/>
    <w:p w14:paraId="3686735F" w14:textId="77777777" w:rsidR="00F264B0" w:rsidRPr="00F264B0" w:rsidRDefault="00F264B0" w:rsidP="00F264B0">
      <w:r w:rsidRPr="00F264B0">
        <w:t>This information, together with knowledge on the range and uptake of control measures, enables a qualitative estimation of the confidence FSANZ has in industry’s current control of CMPF. A couple of examples of how this information can be interpreted are provided below:</w:t>
      </w:r>
    </w:p>
    <w:p w14:paraId="5F04E571" w14:textId="77777777" w:rsidR="00F264B0" w:rsidRPr="00F264B0" w:rsidRDefault="00F264B0" w:rsidP="00F264B0"/>
    <w:p w14:paraId="0AA57464" w14:textId="77777777" w:rsidR="00DD6322" w:rsidRPr="00DD6322" w:rsidRDefault="00F264B0" w:rsidP="00F264B0">
      <w:r w:rsidRPr="00F264B0">
        <w:rPr>
          <w:i/>
        </w:rPr>
        <w:t>Example 1</w:t>
      </w:r>
      <w:r w:rsidRPr="00F264B0">
        <w:t>: Corrugated paperboard manufacture is essentially a duopoly in Australia with 95% of this material being supplied by two companies. Both companies comply with a range of domestic and international packaging material regulations in addition to voluntary codes of practice</w:t>
      </w:r>
      <w:r w:rsidRPr="00F264B0">
        <w:rPr>
          <w:vertAlign w:val="superscript"/>
        </w:rPr>
        <w:footnoteReference w:id="8"/>
      </w:r>
      <w:r w:rsidRPr="00F264B0">
        <w:t xml:space="preserve"> and also have in-house testing and QA/QC schemes. </w:t>
      </w:r>
      <w:r w:rsidR="00DD6322" w:rsidRPr="00DD6322">
        <w:br w:type="page"/>
      </w:r>
    </w:p>
    <w:p w14:paraId="59E30966" w14:textId="623E49E3" w:rsidR="00F264B0" w:rsidRPr="00F264B0" w:rsidRDefault="00F264B0" w:rsidP="00F264B0">
      <w:r w:rsidRPr="00F264B0">
        <w:lastRenderedPageBreak/>
        <w:t xml:space="preserve">Therefore, it is anticipated that there is good consistency of application of control measures and we conclude that there would be a relatively high degree of confidence that the residual risk, from most chemicals that could migrate from this packaging material, would be low. </w:t>
      </w:r>
    </w:p>
    <w:p w14:paraId="75EC76BA" w14:textId="77777777" w:rsidR="00F264B0" w:rsidRPr="00F264B0" w:rsidRDefault="00F264B0" w:rsidP="00F264B0"/>
    <w:p w14:paraId="0B93B443" w14:textId="77777777" w:rsidR="00F264B0" w:rsidRPr="00F264B0" w:rsidRDefault="00F264B0" w:rsidP="00F264B0">
      <w:r w:rsidRPr="00F264B0">
        <w:rPr>
          <w:i/>
        </w:rPr>
        <w:t xml:space="preserve">Example 2: </w:t>
      </w:r>
      <w:r w:rsidRPr="00F264B0">
        <w:t xml:space="preserve">Some sectors of the packaging manufacturing market consist of smaller companies with a low percentage market share. FSANZ has been unable to verify their awareness of CMPF and use of mitigation measures. It could be argued that there is an increased likelihood of uncertainty in the consistency of application of control measures. This would result in decreased confidence in overall control of CMPF and raise the overall residual risk for a chemical concern. </w:t>
      </w:r>
    </w:p>
    <w:p w14:paraId="3C771707" w14:textId="77777777" w:rsidR="00F264B0" w:rsidRPr="00DD6322" w:rsidRDefault="00F264B0" w:rsidP="00F264B0">
      <w:pPr>
        <w:pStyle w:val="Heading2"/>
      </w:pPr>
      <w:r w:rsidRPr="00DD6322">
        <w:t>2.1</w:t>
      </w:r>
      <w:r w:rsidRPr="00DD6322">
        <w:tab/>
        <w:t>Imported packaging materials</w:t>
      </w:r>
    </w:p>
    <w:p w14:paraId="3FBB3339" w14:textId="77777777" w:rsidR="00F264B0" w:rsidRDefault="00F264B0" w:rsidP="00F264B0">
      <w:pPr>
        <w:rPr>
          <w:rFonts w:cs="Arial"/>
        </w:rPr>
      </w:pPr>
      <w:r w:rsidRPr="00F264B0">
        <w:t>Imported ‘empty packaging’ was also identified through submissions, and by the Packaging Advisory Group as a potential risk factor or ‘weak link’ in the packaging supply chain as control measures in the source country may be poor or unknown. Market information sources imply that imports of packaging materials are growing due to the increasing competitiveness of the overseas market. This has been confirmed through an analysis of imported packaging data</w:t>
      </w:r>
      <w:r w:rsidRPr="00F264B0">
        <w:rPr>
          <w:vertAlign w:val="superscript"/>
        </w:rPr>
        <w:footnoteReference w:id="9"/>
      </w:r>
      <w:r w:rsidRPr="00F264B0">
        <w:t xml:space="preserve"> (see Figures 1 and 2). I</w:t>
      </w:r>
      <w:r w:rsidRPr="00F264B0">
        <w:rPr>
          <w:rFonts w:cs="Arial"/>
        </w:rPr>
        <w:t>mports of glass, paper/paperboard, and plastic packaging materials have all increased over the past 3 years</w:t>
      </w:r>
      <w:r w:rsidRPr="00DD6322">
        <w:rPr>
          <w:rFonts w:cs="Arial"/>
          <w:vertAlign w:val="superscript"/>
        </w:rPr>
        <w:footnoteReference w:id="10"/>
      </w:r>
      <w:r w:rsidRPr="00F264B0">
        <w:rPr>
          <w:rFonts w:cs="Arial"/>
        </w:rPr>
        <w:t xml:space="preserve"> (Figure 1). The data shown for each packaging material category includes a range of sub-categories (detailed in Appendix 1) which may be used for food packaging</w:t>
      </w:r>
      <w:r w:rsidRPr="00DD6322">
        <w:rPr>
          <w:rFonts w:cs="Arial"/>
          <w:vertAlign w:val="superscript"/>
        </w:rPr>
        <w:footnoteReference w:id="11"/>
      </w:r>
      <w:r w:rsidRPr="00F264B0">
        <w:rPr>
          <w:rFonts w:cs="Arial"/>
        </w:rPr>
        <w:t>.</w:t>
      </w:r>
    </w:p>
    <w:p w14:paraId="32716BBC" w14:textId="18D26F75" w:rsidR="004F0C95" w:rsidRDefault="008E291C" w:rsidP="00DD6322">
      <w:pPr>
        <w:jc w:val="center"/>
        <w:rPr>
          <w:i/>
        </w:rPr>
      </w:pPr>
      <w:r>
        <w:rPr>
          <w:i/>
          <w:noProof/>
          <w:lang w:eastAsia="en-GB" w:bidi="ar-SA"/>
        </w:rPr>
        <w:drawing>
          <wp:inline distT="0" distB="0" distL="0" distR="0" wp14:anchorId="6B3B9789" wp14:editId="52930D7E">
            <wp:extent cx="4624204" cy="2571750"/>
            <wp:effectExtent l="0" t="0" r="5080" b="0"/>
            <wp:docPr id="19" name="Picture 19" descr="C:\Users\humphc\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umphc\Desktop\Untitled.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24204" cy="2571750"/>
                    </a:xfrm>
                    <a:prstGeom prst="rect">
                      <a:avLst/>
                    </a:prstGeom>
                    <a:noFill/>
                    <a:ln>
                      <a:noFill/>
                    </a:ln>
                  </pic:spPr>
                </pic:pic>
              </a:graphicData>
            </a:graphic>
          </wp:inline>
        </w:drawing>
      </w:r>
    </w:p>
    <w:p w14:paraId="67420F7B" w14:textId="443ED1A8" w:rsidR="00F264B0" w:rsidRPr="00F264B0" w:rsidRDefault="00F264B0" w:rsidP="00DD6322">
      <w:pPr>
        <w:jc w:val="center"/>
        <w:rPr>
          <w:i/>
        </w:rPr>
      </w:pPr>
      <w:r w:rsidRPr="00F264B0">
        <w:rPr>
          <w:i/>
        </w:rPr>
        <w:t>Figure 1: Imports of major groups of packaging material 2012-2014</w:t>
      </w:r>
      <w:r w:rsidRPr="00F264B0">
        <w:rPr>
          <w:i/>
          <w:vertAlign w:val="superscript"/>
        </w:rPr>
        <w:t>8</w:t>
      </w:r>
    </w:p>
    <w:p w14:paraId="6C58DC30" w14:textId="77777777" w:rsidR="00F264B0" w:rsidRPr="00F264B0" w:rsidRDefault="00F264B0" w:rsidP="00F264B0"/>
    <w:p w14:paraId="28041CF8" w14:textId="77777777" w:rsidR="00F264B0" w:rsidRPr="00F264B0" w:rsidRDefault="00F264B0" w:rsidP="00F264B0">
      <w:pPr>
        <w:rPr>
          <w:szCs w:val="22"/>
        </w:rPr>
      </w:pPr>
      <w:r w:rsidRPr="00F264B0">
        <w:rPr>
          <w:szCs w:val="22"/>
        </w:rPr>
        <w:t>The market for ‘empty packaging’ has apparently shifted in the past few years and it is now more economically viable to import some packaging materials</w:t>
      </w:r>
      <w:r w:rsidRPr="00DD6322">
        <w:rPr>
          <w:szCs w:val="22"/>
          <w:vertAlign w:val="superscript"/>
        </w:rPr>
        <w:footnoteReference w:id="12"/>
      </w:r>
      <w:r w:rsidRPr="00F264B0">
        <w:rPr>
          <w:szCs w:val="22"/>
        </w:rPr>
        <w:t>. Some of the increased imports can be attributed to Australia’s major packaging companies, who operate in the global market, and have been increasing their imports of empty packaging. Information from major packaging companies about their control measure practices indicates that the implementation of these measures also extends to imported packaging materials.</w:t>
      </w:r>
    </w:p>
    <w:p w14:paraId="40D80F6A" w14:textId="2980F910" w:rsidR="00DD6322" w:rsidRPr="00DD6322" w:rsidRDefault="00DD6322" w:rsidP="00F264B0">
      <w:r w:rsidRPr="00DD6322">
        <w:br w:type="page"/>
      </w:r>
    </w:p>
    <w:p w14:paraId="3BD42DA0" w14:textId="60789B90" w:rsidR="00F264B0" w:rsidRDefault="00F264B0" w:rsidP="0052038F">
      <w:pPr>
        <w:ind w:right="-286"/>
        <w:rPr>
          <w:rFonts w:cs="Arial"/>
        </w:rPr>
      </w:pPr>
      <w:r w:rsidRPr="00F264B0">
        <w:rPr>
          <w:rFonts w:cs="Arial"/>
        </w:rPr>
        <w:lastRenderedPageBreak/>
        <w:t>Imported packaging may be sourced from a range of countries worldwide and some materials, for example plastics, are sourced from as many as eighty countries. The major exporting countries to Australia are in the Asia-Pacific region and China, the latter dominating the export market for paper/paperboard, plastic and metal packaging materials</w:t>
      </w:r>
      <w:r w:rsidRPr="00DD6322">
        <w:rPr>
          <w:rFonts w:cs="Arial"/>
          <w:vertAlign w:val="superscript"/>
        </w:rPr>
        <w:footnoteReference w:id="13"/>
      </w:r>
      <w:r w:rsidRPr="00F264B0">
        <w:rPr>
          <w:rFonts w:cs="Arial"/>
        </w:rPr>
        <w:t xml:space="preserve"> (Figures 2</w:t>
      </w:r>
      <w:r w:rsidR="0052038F">
        <w:rPr>
          <w:rFonts w:cs="Arial"/>
        </w:rPr>
        <w:t xml:space="preserve"> and</w:t>
      </w:r>
      <w:r w:rsidRPr="00F264B0">
        <w:rPr>
          <w:rFonts w:cs="Arial"/>
        </w:rPr>
        <w:t xml:space="preserve"> 3). </w:t>
      </w:r>
    </w:p>
    <w:p w14:paraId="70EB885E" w14:textId="7AFF73A1" w:rsidR="0052038F" w:rsidRDefault="0052038F" w:rsidP="00F264B0">
      <w:pPr>
        <w:rPr>
          <w:rFonts w:cs="Arial"/>
        </w:rPr>
      </w:pPr>
      <w:r>
        <w:rPr>
          <w:noProof/>
          <w:lang w:eastAsia="en-GB" w:bidi="ar-SA"/>
        </w:rPr>
        <mc:AlternateContent>
          <mc:Choice Requires="wps">
            <w:drawing>
              <wp:anchor distT="0" distB="0" distL="114300" distR="114300" simplePos="0" relativeHeight="251665408" behindDoc="0" locked="0" layoutInCell="1" allowOverlap="1" wp14:anchorId="3D798E30" wp14:editId="49632140">
                <wp:simplePos x="0" y="0"/>
                <wp:positionH relativeFrom="column">
                  <wp:posOffset>-5080</wp:posOffset>
                </wp:positionH>
                <wp:positionV relativeFrom="paragraph">
                  <wp:posOffset>144145</wp:posOffset>
                </wp:positionV>
                <wp:extent cx="267335" cy="26924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69240"/>
                        </a:xfrm>
                        <a:prstGeom prst="rect">
                          <a:avLst/>
                        </a:prstGeom>
                        <a:noFill/>
                        <a:ln w="9525">
                          <a:noFill/>
                          <a:miter lim="800000"/>
                          <a:headEnd/>
                          <a:tailEnd/>
                        </a:ln>
                      </wps:spPr>
                      <wps:txbx>
                        <w:txbxContent>
                          <w:p w14:paraId="5A537ED8" w14:textId="77777777" w:rsidR="0052038F" w:rsidRDefault="0052038F" w:rsidP="0052038F">
                            <w:pPr>
                              <w:pStyle w:val="NormalWeb"/>
                              <w:spacing w:before="0" w:beforeAutospacing="0" w:after="0" w:afterAutospacing="0"/>
                            </w:pPr>
                            <w:r>
                              <w:rPr>
                                <w:rFonts w:ascii="Arial" w:eastAsia="+mn-ea" w:hAnsi="Arial" w:cs="Arial"/>
                                <w:b/>
                                <w:bCs/>
                              </w:rPr>
                              <w:t>A</w:t>
                            </w:r>
                          </w:p>
                        </w:txbxContent>
                      </wps:txbx>
                      <wps:bodyPr rot="0" vert="horz" wrap="square" lIns="91440" tIns="45720" rIns="91440" bIns="45720" anchor="t" anchorCtr="0">
                        <a:spAutoFit/>
                      </wps:bodyPr>
                    </wps:wsp>
                  </a:graphicData>
                </a:graphic>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4pt;margin-top:11.35pt;width:21.05pt;height:21.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" filled="f" stroked="f">
                <v:textbox style="mso-fit-shape-to-text:t">
                  <w:txbxContent>
                    <w:p w14:paraId="5A537ED8" w14:textId="77777777" w:rsidR="0052038F" w:rsidRDefault="0052038F" w:rsidP="0052038F">
                      <w:pPr>
                        <w:pStyle w:val="NormalWeb"/>
                        <w:spacing w:before="0" w:beforeAutospacing="0" w:after="0" w:afterAutospacing="0"/>
                      </w:pPr>
                      <w:r>
                        <w:rPr>
                          <w:rFonts w:ascii="Arial" w:eastAsia="+mn-ea" w:hAnsi="Arial" w:cs="Arial"/>
                          <w:b/>
                          <w:bCs/>
                        </w:rPr>
                        <w:t>A</w:t>
                      </w:r>
                    </w:p>
                  </w:txbxContent>
                </v:textbox>
              </v:shape>
            </w:pict>
          </mc:Fallback>
        </mc:AlternateContent>
      </w:r>
    </w:p>
    <w:p w14:paraId="55E71DFA" w14:textId="7107CC52" w:rsidR="00F264B0" w:rsidRPr="00F264B0" w:rsidRDefault="0052038F" w:rsidP="00160A65">
      <w:pPr>
        <w:jc w:val="center"/>
        <w:rPr>
          <w:i/>
        </w:rPr>
      </w:pPr>
      <w:r>
        <w:rPr>
          <w:i/>
          <w:noProof/>
          <w:lang w:eastAsia="en-GB" w:bidi="ar-SA"/>
        </w:rPr>
        <w:drawing>
          <wp:inline distT="0" distB="0" distL="0" distR="0" wp14:anchorId="51CCA541" wp14:editId="36E457C4">
            <wp:extent cx="4857750" cy="2781300"/>
            <wp:effectExtent l="0" t="0" r="0" b="0"/>
            <wp:docPr id="18" name="Picture 18" descr="C:\Users\humphc\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umphc\Desktop\Untitled.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7750" cy="2781300"/>
                    </a:xfrm>
                    <a:prstGeom prst="rect">
                      <a:avLst/>
                    </a:prstGeom>
                    <a:noFill/>
                    <a:ln>
                      <a:noFill/>
                    </a:ln>
                  </pic:spPr>
                </pic:pic>
              </a:graphicData>
            </a:graphic>
          </wp:inline>
        </w:drawing>
      </w:r>
    </w:p>
    <w:p w14:paraId="1E75EB45" w14:textId="1398FCE9" w:rsidR="00F264B0" w:rsidRPr="00F264B0" w:rsidRDefault="0052038F" w:rsidP="0052038F">
      <w:pPr>
        <w:jc w:val="center"/>
        <w:rPr>
          <w:b/>
        </w:rPr>
      </w:pPr>
      <w:r w:rsidRPr="00F264B0">
        <w:rPr>
          <w:b/>
          <w:i/>
          <w:noProof/>
          <w:lang w:eastAsia="en-GB" w:bidi="ar-SA"/>
        </w:rPr>
        <mc:AlternateContent>
          <mc:Choice Requires="wps">
            <w:drawing>
              <wp:anchor distT="0" distB="0" distL="114300" distR="114300" simplePos="0" relativeHeight="251661312" behindDoc="0" locked="0" layoutInCell="1" allowOverlap="1" wp14:anchorId="5AA3C889" wp14:editId="667EF88B">
                <wp:simplePos x="0" y="0"/>
                <wp:positionH relativeFrom="column">
                  <wp:posOffset>-2540</wp:posOffset>
                </wp:positionH>
                <wp:positionV relativeFrom="paragraph">
                  <wp:posOffset>5715</wp:posOffset>
                </wp:positionV>
                <wp:extent cx="26733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403985"/>
                        </a:xfrm>
                        <a:prstGeom prst="rect">
                          <a:avLst/>
                        </a:prstGeom>
                        <a:solidFill>
                          <a:srgbClr val="FFFFFF"/>
                        </a:solidFill>
                        <a:ln w="9525">
                          <a:noFill/>
                          <a:miter lim="800000"/>
                          <a:headEnd/>
                          <a:tailEnd/>
                        </a:ln>
                      </wps:spPr>
                      <wps:txbx>
                        <w:txbxContent>
                          <w:p w14:paraId="1B7391F7" w14:textId="77777777" w:rsidR="00F264B0" w:rsidRPr="00A61121" w:rsidRDefault="00F264B0" w:rsidP="00F264B0">
                            <w:pPr>
                              <w:rPr>
                                <w:b/>
                                <w:sz w:val="24"/>
                              </w:rPr>
                            </w:pPr>
                            <w:r w:rsidRPr="00A61121">
                              <w:rPr>
                                <w:b/>
                                <w:sz w:val="24"/>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left:0;text-align:left;margin-left:-.2pt;margin-top:.45pt;width:21.0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dLXIgIAAB0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" stroked="f">
                <v:textbox style="mso-fit-shape-to-text:t">
                  <w:txbxContent>
                    <w:p w14:paraId="1B7391F7" w14:textId="77777777" w:rsidR="00F264B0" w:rsidRPr="00A61121" w:rsidRDefault="00F264B0" w:rsidP="00F264B0">
                      <w:pPr>
                        <w:rPr>
                          <w:b/>
                          <w:sz w:val="24"/>
                        </w:rPr>
                      </w:pPr>
                      <w:r w:rsidRPr="00A61121">
                        <w:rPr>
                          <w:b/>
                          <w:sz w:val="24"/>
                        </w:rPr>
                        <w:t>B</w:t>
                      </w:r>
                    </w:p>
                  </w:txbxContent>
                </v:textbox>
              </v:shape>
            </w:pict>
          </mc:Fallback>
        </mc:AlternateContent>
      </w:r>
      <w:r w:rsidR="008E291C">
        <w:rPr>
          <w:b/>
          <w:noProof/>
          <w:lang w:eastAsia="en-GB" w:bidi="ar-SA"/>
        </w:rPr>
        <w:drawing>
          <wp:inline distT="0" distB="0" distL="0" distR="0" wp14:anchorId="0B04D65D" wp14:editId="5BB39647">
            <wp:extent cx="4857750" cy="2828925"/>
            <wp:effectExtent l="0" t="0" r="0" b="9525"/>
            <wp:docPr id="21" name="Picture 21" descr="C:\Users\humphc\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umphc\Desktop\Untitled.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57750" cy="2828925"/>
                    </a:xfrm>
                    <a:prstGeom prst="rect">
                      <a:avLst/>
                    </a:prstGeom>
                    <a:noFill/>
                    <a:ln>
                      <a:noFill/>
                    </a:ln>
                  </pic:spPr>
                </pic:pic>
              </a:graphicData>
            </a:graphic>
          </wp:inline>
        </w:drawing>
      </w:r>
    </w:p>
    <w:p w14:paraId="2CCF7BAD" w14:textId="77777777" w:rsidR="00F264B0" w:rsidRPr="00F264B0" w:rsidRDefault="00F264B0" w:rsidP="00F264B0">
      <w:pPr>
        <w:jc w:val="center"/>
        <w:rPr>
          <w:i/>
        </w:rPr>
      </w:pPr>
      <w:r w:rsidRPr="00F264B0">
        <w:rPr>
          <w:i/>
        </w:rPr>
        <w:t>Figure 2:  Major exporters of packaging materials to Australia 2012 – 2014: (A) paper/paperboard (B) plastics</w:t>
      </w:r>
      <w:r w:rsidRPr="00F264B0">
        <w:rPr>
          <w:i/>
          <w:vertAlign w:val="superscript"/>
        </w:rPr>
        <w:t>8</w:t>
      </w:r>
      <w:r w:rsidRPr="00F264B0">
        <w:rPr>
          <w:i/>
        </w:rPr>
        <w:t>.</w:t>
      </w:r>
    </w:p>
    <w:p w14:paraId="2EC86BDF" w14:textId="56DF680E" w:rsidR="00F264B0" w:rsidRPr="00F264B0" w:rsidRDefault="008E291C" w:rsidP="00F264B0">
      <w:pPr>
        <w:rPr>
          <w:b/>
        </w:rPr>
      </w:pPr>
      <w:r w:rsidRPr="00F264B0">
        <w:rPr>
          <w:b/>
          <w:i/>
          <w:noProof/>
          <w:lang w:eastAsia="en-GB" w:bidi="ar-SA"/>
        </w:rPr>
        <w:lastRenderedPageBreak/>
        <mc:AlternateContent>
          <mc:Choice Requires="wps">
            <w:drawing>
              <wp:anchor distT="0" distB="0" distL="114300" distR="114300" simplePos="0" relativeHeight="251663360" behindDoc="0" locked="0" layoutInCell="1" allowOverlap="1" wp14:anchorId="5DC0DE37" wp14:editId="19B85120">
                <wp:simplePos x="0" y="0"/>
                <wp:positionH relativeFrom="column">
                  <wp:posOffset>-292100</wp:posOffset>
                </wp:positionH>
                <wp:positionV relativeFrom="paragraph">
                  <wp:posOffset>-61595</wp:posOffset>
                </wp:positionV>
                <wp:extent cx="267335" cy="14039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403985"/>
                        </a:xfrm>
                        <a:prstGeom prst="rect">
                          <a:avLst/>
                        </a:prstGeom>
                        <a:solidFill>
                          <a:srgbClr val="FFFFFF"/>
                        </a:solidFill>
                        <a:ln w="9525">
                          <a:noFill/>
                          <a:miter lim="800000"/>
                          <a:headEnd/>
                          <a:tailEnd/>
                        </a:ln>
                      </wps:spPr>
                      <wps:txbx>
                        <w:txbxContent>
                          <w:p w14:paraId="6DFB0132" w14:textId="77777777" w:rsidR="00F264B0" w:rsidRPr="00A61121" w:rsidRDefault="00F264B0" w:rsidP="00F264B0">
                            <w:pPr>
                              <w:rPr>
                                <w:b/>
                                <w:sz w:val="24"/>
                              </w:rPr>
                            </w:pPr>
                            <w:r>
                              <w:rPr>
                                <w:b/>
                                <w:sz w:val="24"/>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23pt;margin-top:-4.85pt;width:21.0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" stroked="f">
                <v:textbox style="mso-fit-shape-to-text:t">
                  <w:txbxContent>
                    <w:p w14:paraId="6DFB0132" w14:textId="77777777" w:rsidR="00F264B0" w:rsidRPr="00A61121" w:rsidRDefault="00F264B0" w:rsidP="00F264B0">
                      <w:pPr>
                        <w:rPr>
                          <w:b/>
                          <w:sz w:val="24"/>
                        </w:rPr>
                      </w:pPr>
                      <w:r>
                        <w:rPr>
                          <w:b/>
                          <w:sz w:val="24"/>
                        </w:rPr>
                        <w:t>A</w:t>
                      </w:r>
                    </w:p>
                  </w:txbxContent>
                </v:textbox>
              </v:shape>
            </w:pict>
          </mc:Fallback>
        </mc:AlternateContent>
      </w:r>
      <w:r>
        <w:rPr>
          <w:b/>
          <w:noProof/>
          <w:lang w:eastAsia="en-GB" w:bidi="ar-SA"/>
        </w:rPr>
        <w:drawing>
          <wp:inline distT="0" distB="0" distL="0" distR="0" wp14:anchorId="1D1CF96D" wp14:editId="7190B0E6">
            <wp:extent cx="4962525" cy="2733675"/>
            <wp:effectExtent l="0" t="0" r="9525" b="9525"/>
            <wp:docPr id="22" name="Picture 22" descr="C:\Users\humphc\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umphc\Desktop\Untitled.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62525" cy="2733675"/>
                    </a:xfrm>
                    <a:prstGeom prst="rect">
                      <a:avLst/>
                    </a:prstGeom>
                    <a:noFill/>
                    <a:ln>
                      <a:noFill/>
                    </a:ln>
                  </pic:spPr>
                </pic:pic>
              </a:graphicData>
            </a:graphic>
          </wp:inline>
        </w:drawing>
      </w:r>
    </w:p>
    <w:p w14:paraId="59DF238D" w14:textId="6E25076D" w:rsidR="00F264B0" w:rsidRPr="00F264B0" w:rsidRDefault="008E291C" w:rsidP="00F264B0">
      <w:pPr>
        <w:rPr>
          <w:b/>
          <w:i/>
        </w:rPr>
      </w:pPr>
      <w:r w:rsidRPr="00F264B0">
        <w:rPr>
          <w:b/>
          <w:noProof/>
          <w:lang w:eastAsia="en-GB" w:bidi="ar-SA"/>
        </w:rPr>
        <mc:AlternateContent>
          <mc:Choice Requires="wps">
            <w:drawing>
              <wp:anchor distT="0" distB="0" distL="114300" distR="114300" simplePos="0" relativeHeight="251662336" behindDoc="0" locked="0" layoutInCell="1" allowOverlap="1" wp14:anchorId="39C70298" wp14:editId="55145F3E">
                <wp:simplePos x="0" y="0"/>
                <wp:positionH relativeFrom="column">
                  <wp:posOffset>-20320</wp:posOffset>
                </wp:positionH>
                <wp:positionV relativeFrom="paragraph">
                  <wp:posOffset>2780030</wp:posOffset>
                </wp:positionV>
                <wp:extent cx="307975" cy="140398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1403985"/>
                        </a:xfrm>
                        <a:prstGeom prst="rect">
                          <a:avLst/>
                        </a:prstGeom>
                        <a:solidFill>
                          <a:srgbClr val="FFFFFF"/>
                        </a:solidFill>
                        <a:ln w="9525">
                          <a:noFill/>
                          <a:miter lim="800000"/>
                          <a:headEnd/>
                          <a:tailEnd/>
                        </a:ln>
                      </wps:spPr>
                      <wps:txbx>
                        <w:txbxContent>
                          <w:p w14:paraId="64BB3AC6" w14:textId="77777777" w:rsidR="00F264B0" w:rsidRPr="0033437C" w:rsidRDefault="00F264B0" w:rsidP="00F264B0">
                            <w:pPr>
                              <w:rPr>
                                <w:b/>
                                <w:sz w:val="24"/>
                              </w:rPr>
                            </w:pPr>
                            <w:r>
                              <w:rPr>
                                <w:b/>
                                <w:sz w:val="24"/>
                              </w:rPr>
                              <w: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6pt;margin-top:218.9pt;width:24.2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" stroked="f">
                <v:textbox style="mso-fit-shape-to-text:t">
                  <w:txbxContent>
                    <w:p w14:paraId="64BB3AC6" w14:textId="77777777" w:rsidR="00F264B0" w:rsidRPr="0033437C" w:rsidRDefault="00F264B0" w:rsidP="00F264B0">
                      <w:pPr>
                        <w:rPr>
                          <w:b/>
                          <w:sz w:val="24"/>
                        </w:rPr>
                      </w:pPr>
                      <w:r>
                        <w:rPr>
                          <w:b/>
                          <w:sz w:val="24"/>
                        </w:rPr>
                        <w:t>C</w:t>
                      </w:r>
                    </w:p>
                  </w:txbxContent>
                </v:textbox>
              </v:shape>
            </w:pict>
          </mc:Fallback>
        </mc:AlternateContent>
      </w:r>
      <w:r w:rsidRPr="00F264B0">
        <w:rPr>
          <w:b/>
          <w:noProof/>
          <w:lang w:eastAsia="en-GB" w:bidi="ar-SA"/>
        </w:rPr>
        <mc:AlternateContent>
          <mc:Choice Requires="wps">
            <w:drawing>
              <wp:anchor distT="0" distB="0" distL="114300" distR="114300" simplePos="0" relativeHeight="251660288" behindDoc="0" locked="0" layoutInCell="1" allowOverlap="1" wp14:anchorId="078D2C8A" wp14:editId="1D9AC215">
                <wp:simplePos x="0" y="0"/>
                <wp:positionH relativeFrom="column">
                  <wp:posOffset>-165100</wp:posOffset>
                </wp:positionH>
                <wp:positionV relativeFrom="paragraph">
                  <wp:posOffset>6350</wp:posOffset>
                </wp:positionV>
                <wp:extent cx="287020" cy="140398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403985"/>
                        </a:xfrm>
                        <a:prstGeom prst="rect">
                          <a:avLst/>
                        </a:prstGeom>
                        <a:solidFill>
                          <a:srgbClr val="FFFFFF"/>
                        </a:solidFill>
                        <a:ln w="9525">
                          <a:noFill/>
                          <a:miter lim="800000"/>
                          <a:headEnd/>
                          <a:tailEnd/>
                        </a:ln>
                      </wps:spPr>
                      <wps:txbx>
                        <w:txbxContent>
                          <w:p w14:paraId="626EF83E" w14:textId="77777777" w:rsidR="00F264B0" w:rsidRPr="0033437C" w:rsidRDefault="00F264B0" w:rsidP="00F264B0">
                            <w:pPr>
                              <w:rPr>
                                <w:b/>
                                <w:sz w:val="24"/>
                              </w:rPr>
                            </w:pPr>
                            <w:r>
                              <w:rPr>
                                <w:b/>
                                <w:sz w:val="24"/>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13pt;margin-top:.5pt;width:22.6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" stroked="f">
                <v:textbox style="mso-fit-shape-to-text:t">
                  <w:txbxContent>
                    <w:p w14:paraId="626EF83E" w14:textId="77777777" w:rsidR="00F264B0" w:rsidRPr="0033437C" w:rsidRDefault="00F264B0" w:rsidP="00F264B0">
                      <w:pPr>
                        <w:rPr>
                          <w:b/>
                          <w:sz w:val="24"/>
                        </w:rPr>
                      </w:pPr>
                      <w:r>
                        <w:rPr>
                          <w:b/>
                          <w:sz w:val="24"/>
                        </w:rPr>
                        <w:t>B</w:t>
                      </w:r>
                    </w:p>
                  </w:txbxContent>
                </v:textbox>
              </v:shape>
            </w:pict>
          </mc:Fallback>
        </mc:AlternateContent>
      </w:r>
      <w:r>
        <w:rPr>
          <w:noProof/>
          <w:lang w:eastAsia="en-GB" w:bidi="ar-SA"/>
        </w:rPr>
        <w:drawing>
          <wp:inline distT="0" distB="0" distL="0" distR="0" wp14:anchorId="7FF6C3C1" wp14:editId="74418A29">
            <wp:extent cx="5419725" cy="2790825"/>
            <wp:effectExtent l="0" t="0" r="9525" b="9525"/>
            <wp:docPr id="20" name="Picture 20" descr="C:\Users\humphc\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umphc\Desktop\Untitled.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19725" cy="2790825"/>
                    </a:xfrm>
                    <a:prstGeom prst="rect">
                      <a:avLst/>
                    </a:prstGeom>
                    <a:noFill/>
                    <a:ln>
                      <a:noFill/>
                    </a:ln>
                  </pic:spPr>
                </pic:pic>
              </a:graphicData>
            </a:graphic>
          </wp:inline>
        </w:drawing>
      </w:r>
    </w:p>
    <w:p w14:paraId="6063B462" w14:textId="77777777" w:rsidR="00F264B0" w:rsidRPr="00F264B0" w:rsidRDefault="00F264B0" w:rsidP="008E291C">
      <w:pPr>
        <w:jc w:val="center"/>
        <w:rPr>
          <w:i/>
        </w:rPr>
      </w:pPr>
      <w:bookmarkStart w:id="4" w:name="_GoBack"/>
      <w:r w:rsidRPr="00F264B0">
        <w:rPr>
          <w:noProof/>
          <w:lang w:eastAsia="en-GB" w:bidi="ar-SA"/>
        </w:rPr>
        <w:drawing>
          <wp:inline distT="0" distB="0" distL="0" distR="0" wp14:anchorId="28872EE0" wp14:editId="651E0DE1">
            <wp:extent cx="5133975" cy="2794522"/>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35765" cy="2795497"/>
                    </a:xfrm>
                    <a:prstGeom prst="rect">
                      <a:avLst/>
                    </a:prstGeom>
                    <a:noFill/>
                  </pic:spPr>
                </pic:pic>
              </a:graphicData>
            </a:graphic>
          </wp:inline>
        </w:drawing>
      </w:r>
      <w:bookmarkEnd w:id="4"/>
    </w:p>
    <w:p w14:paraId="6C0BFD79" w14:textId="77777777" w:rsidR="00F264B0" w:rsidRPr="00F264B0" w:rsidRDefault="00F264B0" w:rsidP="00F264B0">
      <w:pPr>
        <w:jc w:val="center"/>
        <w:rPr>
          <w:i/>
        </w:rPr>
      </w:pPr>
      <w:r w:rsidRPr="00F264B0">
        <w:rPr>
          <w:i/>
        </w:rPr>
        <w:t>Figure 3:  Major exporters of packaging materials to Australia 2012 – 2014: (A) metal (B) glass (C) printing inks</w:t>
      </w:r>
      <w:r w:rsidRPr="00F264B0">
        <w:rPr>
          <w:i/>
          <w:vertAlign w:val="superscript"/>
        </w:rPr>
        <w:t>8</w:t>
      </w:r>
    </w:p>
    <w:p w14:paraId="2307FE0D" w14:textId="77777777" w:rsidR="00F264B0" w:rsidRPr="00DD6322" w:rsidRDefault="00F264B0" w:rsidP="00F264B0">
      <w:pPr>
        <w:pStyle w:val="Heading2"/>
      </w:pPr>
      <w:r w:rsidRPr="00DD6322">
        <w:lastRenderedPageBreak/>
        <w:t>2.2</w:t>
      </w:r>
      <w:r w:rsidRPr="00DD6322">
        <w:tab/>
        <w:t>Market outlook</w:t>
      </w:r>
    </w:p>
    <w:p w14:paraId="04A9EC34" w14:textId="77777777" w:rsidR="00F264B0" w:rsidRPr="00F264B0" w:rsidRDefault="00F264B0" w:rsidP="00F264B0">
      <w:r w:rsidRPr="00F264B0">
        <w:t>Over the past few years there has been a shift in the popularity of the types of packaging materials used. This is related not only to the functions of packaging i.e. containment, protection, convenience and communication (Robertson 2013), but also to increased demand for ‘lightweighting’ of packaging materials. Environmental concerns and the economics of carbon tax, transport and raw material supply have influenced the shift to using lighter weight plastic composite packaging (such as flexible plastic pouches) for a large array of food products</w:t>
      </w:r>
      <w:r w:rsidRPr="00DD6322">
        <w:rPr>
          <w:vertAlign w:val="superscript"/>
        </w:rPr>
        <w:footnoteReference w:id="14"/>
      </w:r>
      <w:r w:rsidRPr="00F264B0">
        <w:t>.</w:t>
      </w:r>
    </w:p>
    <w:p w14:paraId="05D73234" w14:textId="77777777" w:rsidR="00F264B0" w:rsidRPr="00F264B0" w:rsidRDefault="00F264B0" w:rsidP="00F264B0">
      <w:r w:rsidRPr="00F264B0">
        <w:t xml:space="preserve"> </w:t>
      </w:r>
    </w:p>
    <w:p w14:paraId="2BADA7EB" w14:textId="77777777" w:rsidR="00F264B0" w:rsidRPr="00F264B0" w:rsidRDefault="00F264B0" w:rsidP="00F264B0">
      <w:pPr>
        <w:sectPr w:rsidR="00F264B0" w:rsidRPr="00F264B0" w:rsidSect="00E7207C">
          <w:footerReference w:type="default" r:id="rId21"/>
          <w:pgSz w:w="11906" w:h="16838"/>
          <w:pgMar w:top="1418" w:right="1418" w:bottom="1418" w:left="1418" w:header="709" w:footer="709" w:gutter="0"/>
          <w:cols w:space="708"/>
          <w:docGrid w:linePitch="360"/>
        </w:sectPr>
      </w:pPr>
    </w:p>
    <w:p w14:paraId="400FB099" w14:textId="77777777" w:rsidR="00F264B0" w:rsidRPr="00F264B0" w:rsidRDefault="00F264B0" w:rsidP="00F264B0">
      <w:pPr>
        <w:rPr>
          <w:b/>
        </w:rPr>
      </w:pPr>
      <w:r w:rsidRPr="00F264B0">
        <w:rPr>
          <w:b/>
        </w:rPr>
        <w:lastRenderedPageBreak/>
        <w:t xml:space="preserve">Table 1:  Summary of responses (n=78) from industry on self-reported uptake of regulatory and non-regulatory control measures relating to chemical migration from packaging into food </w:t>
      </w:r>
    </w:p>
    <w:p w14:paraId="34F6A956" w14:textId="77777777" w:rsidR="00F264B0" w:rsidRPr="00F264B0" w:rsidRDefault="00F264B0" w:rsidP="00F264B0"/>
    <w:p w14:paraId="75CB1437" w14:textId="77777777" w:rsidR="00F264B0" w:rsidRPr="00F264B0" w:rsidRDefault="00F264B0" w:rsidP="00F264B0">
      <w:pPr>
        <w:rPr>
          <w:sz w:val="18"/>
          <w:szCs w:val="18"/>
        </w:rPr>
      </w:pPr>
      <w:r w:rsidRPr="00F264B0">
        <w:rPr>
          <w:noProof/>
          <w:sz w:val="18"/>
          <w:szCs w:val="18"/>
          <w:lang w:eastAsia="en-GB" w:bidi="ar-SA"/>
        </w:rPr>
        <w:drawing>
          <wp:inline distT="0" distB="0" distL="0" distR="0" wp14:anchorId="4D076E05" wp14:editId="31148444">
            <wp:extent cx="8891270" cy="3506391"/>
            <wp:effectExtent l="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91270" cy="3506391"/>
                    </a:xfrm>
                    <a:prstGeom prst="rect">
                      <a:avLst/>
                    </a:prstGeom>
                    <a:noFill/>
                    <a:ln>
                      <a:noFill/>
                    </a:ln>
                  </pic:spPr>
                </pic:pic>
              </a:graphicData>
            </a:graphic>
          </wp:inline>
        </w:drawing>
      </w:r>
    </w:p>
    <w:p w14:paraId="0AD3893B" w14:textId="77777777" w:rsidR="00F264B0" w:rsidRPr="00F264B0" w:rsidRDefault="00F264B0" w:rsidP="00F264B0">
      <w:pPr>
        <w:rPr>
          <w:sz w:val="18"/>
          <w:szCs w:val="18"/>
        </w:rPr>
      </w:pPr>
    </w:p>
    <w:p w14:paraId="70444AA9" w14:textId="77777777" w:rsidR="00F264B0" w:rsidRPr="00F264B0" w:rsidRDefault="00F264B0" w:rsidP="00F264B0">
      <w:pPr>
        <w:rPr>
          <w:b/>
          <w:sz w:val="18"/>
          <w:szCs w:val="18"/>
        </w:rPr>
      </w:pPr>
      <w:r w:rsidRPr="00F264B0">
        <w:rPr>
          <w:b/>
          <w:sz w:val="18"/>
          <w:szCs w:val="18"/>
        </w:rPr>
        <w:t>Key:</w:t>
      </w:r>
    </w:p>
    <w:p w14:paraId="06F1385F" w14:textId="77777777" w:rsidR="00F264B0" w:rsidRPr="00F264B0" w:rsidRDefault="00F264B0" w:rsidP="00F264B0">
      <w:pPr>
        <w:ind w:left="142" w:hanging="142"/>
        <w:rPr>
          <w:sz w:val="18"/>
          <w:szCs w:val="18"/>
        </w:rPr>
      </w:pPr>
      <w:r w:rsidRPr="00F264B0">
        <w:rPr>
          <w:sz w:val="18"/>
          <w:szCs w:val="18"/>
        </w:rPr>
        <w:t xml:space="preserve">1 Other international regulations include China’s GB 9685-2008 Hygienic Standard; Japan’s Food Sanitation Law; Swiss and German Ordinance requirements for printing inks </w:t>
      </w:r>
    </w:p>
    <w:p w14:paraId="6F0C5B77" w14:textId="77777777" w:rsidR="00F264B0" w:rsidRPr="00F264B0" w:rsidRDefault="00F264B0" w:rsidP="00F264B0">
      <w:pPr>
        <w:rPr>
          <w:sz w:val="18"/>
          <w:szCs w:val="18"/>
        </w:rPr>
      </w:pPr>
      <w:r w:rsidRPr="00F264B0">
        <w:rPr>
          <w:sz w:val="18"/>
          <w:szCs w:val="18"/>
        </w:rPr>
        <w:t>2</w:t>
      </w:r>
      <w:r w:rsidRPr="00F264B0">
        <w:rPr>
          <w:rFonts w:cs="Arial"/>
          <w:sz w:val="18"/>
          <w:szCs w:val="18"/>
        </w:rPr>
        <w:t xml:space="preserve"> Examples of industry standards, including ISO</w:t>
      </w:r>
      <w:r w:rsidRPr="00F264B0">
        <w:rPr>
          <w:rFonts w:cs="Arial"/>
          <w:sz w:val="18"/>
          <w:szCs w:val="18"/>
          <w:lang w:eastAsia="en-GB"/>
        </w:rPr>
        <w:t>14001;</w:t>
      </w:r>
      <w:r w:rsidRPr="00F264B0">
        <w:rPr>
          <w:rFonts w:cs="Arial"/>
          <w:sz w:val="18"/>
          <w:szCs w:val="18"/>
          <w:lang w:eastAsia="en-AU"/>
        </w:rPr>
        <w:t xml:space="preserve"> ISO9001: 2000 GB / T19001-2000 standard</w:t>
      </w:r>
      <w:r w:rsidRPr="00F264B0">
        <w:rPr>
          <w:rFonts w:cs="Arial"/>
          <w:sz w:val="18"/>
          <w:szCs w:val="18"/>
          <w:lang w:eastAsia="en-GB"/>
        </w:rPr>
        <w:t>; ISO 22000</w:t>
      </w:r>
      <w:r w:rsidRPr="00F264B0">
        <w:rPr>
          <w:rFonts w:cs="Arial"/>
          <w:sz w:val="18"/>
          <w:szCs w:val="18"/>
        </w:rPr>
        <w:t>; or SQF22000</w:t>
      </w:r>
    </w:p>
    <w:p w14:paraId="481DE4F5" w14:textId="77777777" w:rsidR="00F264B0" w:rsidRPr="00F264B0" w:rsidRDefault="00F264B0" w:rsidP="00F264B0">
      <w:pPr>
        <w:rPr>
          <w:sz w:val="18"/>
          <w:szCs w:val="18"/>
        </w:rPr>
      </w:pPr>
      <w:r w:rsidRPr="00F264B0">
        <w:rPr>
          <w:sz w:val="18"/>
          <w:szCs w:val="18"/>
        </w:rPr>
        <w:t>3 Hazard Analysis and Critical Control Points</w:t>
      </w:r>
    </w:p>
    <w:p w14:paraId="3DE56717" w14:textId="77777777" w:rsidR="00F264B0" w:rsidRPr="00F264B0" w:rsidRDefault="00F264B0" w:rsidP="00F264B0">
      <w:pPr>
        <w:rPr>
          <w:sz w:val="18"/>
          <w:szCs w:val="18"/>
        </w:rPr>
      </w:pPr>
      <w:r w:rsidRPr="00F264B0">
        <w:rPr>
          <w:sz w:val="18"/>
          <w:szCs w:val="18"/>
        </w:rPr>
        <w:t>4 Good Manufacturing Practice</w:t>
      </w:r>
    </w:p>
    <w:p w14:paraId="24B0C043" w14:textId="77777777" w:rsidR="00F264B0" w:rsidRPr="00F264B0" w:rsidRDefault="00F264B0" w:rsidP="00F264B0">
      <w:pPr>
        <w:rPr>
          <w:sz w:val="18"/>
          <w:szCs w:val="18"/>
        </w:rPr>
      </w:pPr>
      <w:r w:rsidRPr="00F264B0">
        <w:rPr>
          <w:sz w:val="18"/>
          <w:szCs w:val="18"/>
        </w:rPr>
        <w:t>5 Australian Standards AS 2070-1999 -:  Plastics materials for food contact use</w:t>
      </w:r>
    </w:p>
    <w:p w14:paraId="2BCC9B30" w14:textId="77777777" w:rsidR="00F264B0" w:rsidRPr="00F264B0" w:rsidRDefault="00F264B0" w:rsidP="00F264B0">
      <w:pPr>
        <w:rPr>
          <w:sz w:val="18"/>
          <w:szCs w:val="18"/>
        </w:rPr>
      </w:pPr>
      <w:r w:rsidRPr="00F264B0">
        <w:rPr>
          <w:sz w:val="18"/>
          <w:szCs w:val="18"/>
        </w:rPr>
        <w:t xml:space="preserve">6 The Confederation of European Paper Industries guideline </w:t>
      </w:r>
    </w:p>
    <w:p w14:paraId="636A59E6" w14:textId="77777777" w:rsidR="00F264B0" w:rsidRPr="00F264B0" w:rsidRDefault="00F264B0" w:rsidP="00F264B0">
      <w:pPr>
        <w:rPr>
          <w:sz w:val="18"/>
          <w:szCs w:val="18"/>
        </w:rPr>
      </w:pPr>
      <w:r w:rsidRPr="00F264B0">
        <w:rPr>
          <w:sz w:val="18"/>
          <w:szCs w:val="18"/>
        </w:rPr>
        <w:t xml:space="preserve">7 The European Printing Ink Association guideline </w:t>
      </w:r>
    </w:p>
    <w:p w14:paraId="0207C81E" w14:textId="77777777" w:rsidR="00F264B0" w:rsidRPr="00F264B0" w:rsidRDefault="00F264B0" w:rsidP="00F264B0">
      <w:r w:rsidRPr="00F264B0">
        <w:rPr>
          <w:sz w:val="18"/>
          <w:szCs w:val="18"/>
        </w:rPr>
        <w:t>8 Examples of Quality Assurance/Control systems may include: a) Specifications; b) Contracts: c) Packaging Requirements documentation; d) Electronic Fingerprinting testing (in house and at supplier); and e) supplier quarterly reviews.</w:t>
      </w:r>
    </w:p>
    <w:p w14:paraId="7F94C82A" w14:textId="77777777" w:rsidR="00F264B0" w:rsidRPr="00F264B0" w:rsidRDefault="00F264B0" w:rsidP="00F264B0"/>
    <w:p w14:paraId="09CFE5FB" w14:textId="77777777" w:rsidR="00F264B0" w:rsidRPr="00F264B0" w:rsidRDefault="00F264B0" w:rsidP="00F264B0">
      <w:pPr>
        <w:sectPr w:rsidR="00F264B0" w:rsidRPr="00F264B0" w:rsidSect="00F77205">
          <w:pgSz w:w="16838" w:h="11906" w:orient="landscape"/>
          <w:pgMar w:top="1418" w:right="1418" w:bottom="1418" w:left="1418" w:header="709" w:footer="709" w:gutter="0"/>
          <w:cols w:space="708"/>
          <w:docGrid w:linePitch="360"/>
        </w:sectPr>
      </w:pPr>
    </w:p>
    <w:p w14:paraId="07B675D3" w14:textId="77777777" w:rsidR="00F264B0" w:rsidRPr="00F264B0" w:rsidRDefault="00F264B0" w:rsidP="00F264B0">
      <w:r w:rsidRPr="00F264B0">
        <w:rPr>
          <w:b/>
        </w:rPr>
        <w:lastRenderedPageBreak/>
        <w:t>Table 2: Market share data for packaging materials</w:t>
      </w:r>
    </w:p>
    <w:p w14:paraId="7DD2D67F" w14:textId="77777777" w:rsidR="00F264B0" w:rsidRPr="00F264B0" w:rsidRDefault="00F264B0" w:rsidP="00F264B0"/>
    <w:tbl>
      <w:tblPr>
        <w:tblW w:w="9072" w:type="dxa"/>
        <w:tblLayout w:type="fixed"/>
        <w:tblLook w:val="04A0" w:firstRow="1" w:lastRow="0" w:firstColumn="1" w:lastColumn="0" w:noHBand="0" w:noVBand="1"/>
      </w:tblPr>
      <w:tblGrid>
        <w:gridCol w:w="2881"/>
        <w:gridCol w:w="846"/>
        <w:gridCol w:w="1201"/>
        <w:gridCol w:w="2173"/>
        <w:gridCol w:w="1971"/>
      </w:tblGrid>
      <w:tr w:rsidR="00F264B0" w:rsidRPr="00F264B0" w14:paraId="666014C9" w14:textId="77777777" w:rsidTr="00EF6A7D">
        <w:trPr>
          <w:trHeight w:val="300"/>
          <w:tblHeader/>
        </w:trPr>
        <w:tc>
          <w:tcPr>
            <w:tcW w:w="2881" w:type="dxa"/>
            <w:tcBorders>
              <w:top w:val="single" w:sz="8" w:space="0" w:color="auto"/>
              <w:left w:val="single" w:sz="8" w:space="0" w:color="auto"/>
              <w:bottom w:val="nil"/>
              <w:right w:val="single" w:sz="8" w:space="0" w:color="auto"/>
            </w:tcBorders>
            <w:shd w:val="pct12" w:color="auto" w:fill="auto"/>
            <w:vAlign w:val="center"/>
            <w:hideMark/>
          </w:tcPr>
          <w:p w14:paraId="1C7BC4D8" w14:textId="77777777" w:rsidR="00F264B0" w:rsidRPr="00F264B0" w:rsidRDefault="00F264B0" w:rsidP="00F264B0">
            <w:pPr>
              <w:ind w:left="476" w:hanging="476"/>
              <w:rPr>
                <w:rFonts w:cs="Arial"/>
                <w:b/>
                <w:bCs/>
                <w:color w:val="000000"/>
                <w:sz w:val="18"/>
                <w:szCs w:val="18"/>
                <w:lang w:eastAsia="en-GB"/>
              </w:rPr>
            </w:pPr>
            <w:r w:rsidRPr="00F264B0">
              <w:rPr>
                <w:rFonts w:cs="Arial"/>
                <w:b/>
                <w:bCs/>
                <w:color w:val="000000"/>
                <w:sz w:val="18"/>
                <w:szCs w:val="18"/>
                <w:lang w:eastAsia="en-GB"/>
              </w:rPr>
              <w:t>Packaging material</w:t>
            </w:r>
          </w:p>
        </w:tc>
        <w:tc>
          <w:tcPr>
            <w:tcW w:w="846" w:type="dxa"/>
            <w:vMerge w:val="restart"/>
            <w:tcBorders>
              <w:top w:val="single" w:sz="8" w:space="0" w:color="auto"/>
              <w:left w:val="single" w:sz="8" w:space="0" w:color="auto"/>
              <w:bottom w:val="single" w:sz="8" w:space="0" w:color="000000"/>
              <w:right w:val="single" w:sz="8" w:space="0" w:color="auto"/>
            </w:tcBorders>
            <w:shd w:val="pct12" w:color="auto" w:fill="auto"/>
            <w:vAlign w:val="center"/>
            <w:hideMark/>
          </w:tcPr>
          <w:p w14:paraId="533B4BF0" w14:textId="77777777" w:rsidR="00F264B0" w:rsidRPr="00F264B0" w:rsidRDefault="00F264B0" w:rsidP="00F264B0">
            <w:pPr>
              <w:rPr>
                <w:rFonts w:cs="Arial"/>
                <w:b/>
                <w:bCs/>
                <w:color w:val="000000"/>
                <w:sz w:val="18"/>
                <w:szCs w:val="18"/>
                <w:lang w:eastAsia="en-GB"/>
              </w:rPr>
            </w:pPr>
            <w:r w:rsidRPr="00F264B0">
              <w:rPr>
                <w:rFonts w:cs="Arial"/>
                <w:b/>
                <w:bCs/>
                <w:color w:val="000000"/>
                <w:sz w:val="18"/>
                <w:szCs w:val="18"/>
                <w:lang w:eastAsia="en-GB"/>
              </w:rPr>
              <w:t>% market share</w:t>
            </w:r>
            <w:r w:rsidRPr="00F264B0">
              <w:rPr>
                <w:rFonts w:cs="Arial"/>
                <w:b/>
                <w:bCs/>
                <w:color w:val="000000"/>
                <w:sz w:val="18"/>
                <w:szCs w:val="18"/>
                <w:vertAlign w:val="superscript"/>
                <w:lang w:eastAsia="en-GB"/>
              </w:rPr>
              <w:footnoteReference w:id="15"/>
            </w:r>
            <w:r w:rsidRPr="00F264B0">
              <w:rPr>
                <w:rFonts w:cs="Arial"/>
                <w:b/>
                <w:bCs/>
                <w:color w:val="000000"/>
                <w:sz w:val="18"/>
                <w:szCs w:val="18"/>
                <w:lang w:eastAsia="en-GB"/>
              </w:rPr>
              <w:t xml:space="preserve"> </w:t>
            </w:r>
          </w:p>
        </w:tc>
        <w:tc>
          <w:tcPr>
            <w:tcW w:w="1201" w:type="dxa"/>
            <w:vMerge w:val="restart"/>
            <w:tcBorders>
              <w:top w:val="single" w:sz="8" w:space="0" w:color="auto"/>
              <w:left w:val="single" w:sz="8" w:space="0" w:color="auto"/>
              <w:bottom w:val="single" w:sz="8" w:space="0" w:color="000000"/>
              <w:right w:val="single" w:sz="8" w:space="0" w:color="auto"/>
            </w:tcBorders>
            <w:shd w:val="pct12" w:color="auto" w:fill="auto"/>
            <w:vAlign w:val="center"/>
            <w:hideMark/>
          </w:tcPr>
          <w:p w14:paraId="24DD1C3E" w14:textId="77777777" w:rsidR="00F264B0" w:rsidRPr="00F264B0" w:rsidRDefault="00F264B0" w:rsidP="00F264B0">
            <w:pPr>
              <w:rPr>
                <w:rFonts w:cs="Arial"/>
                <w:b/>
                <w:bCs/>
                <w:color w:val="000000"/>
                <w:sz w:val="18"/>
                <w:szCs w:val="18"/>
                <w:lang w:eastAsia="en-GB"/>
              </w:rPr>
            </w:pPr>
            <w:r w:rsidRPr="00F264B0">
              <w:rPr>
                <w:rFonts w:cs="Arial"/>
                <w:b/>
                <w:bCs/>
                <w:color w:val="000000"/>
                <w:sz w:val="18"/>
                <w:szCs w:val="18"/>
                <w:lang w:eastAsia="en-GB"/>
              </w:rPr>
              <w:t>Number of businesses</w:t>
            </w:r>
          </w:p>
        </w:tc>
        <w:tc>
          <w:tcPr>
            <w:tcW w:w="2173" w:type="dxa"/>
            <w:vMerge w:val="restart"/>
            <w:tcBorders>
              <w:top w:val="single" w:sz="8" w:space="0" w:color="auto"/>
              <w:left w:val="single" w:sz="8" w:space="0" w:color="auto"/>
              <w:bottom w:val="single" w:sz="8" w:space="0" w:color="000000"/>
              <w:right w:val="single" w:sz="8" w:space="0" w:color="auto"/>
            </w:tcBorders>
            <w:shd w:val="pct12" w:color="auto" w:fill="auto"/>
            <w:vAlign w:val="center"/>
            <w:hideMark/>
          </w:tcPr>
          <w:p w14:paraId="51913922" w14:textId="77777777" w:rsidR="00F264B0" w:rsidRPr="00F264B0" w:rsidRDefault="00F264B0" w:rsidP="00F264B0">
            <w:pPr>
              <w:rPr>
                <w:rFonts w:cs="Arial"/>
                <w:b/>
                <w:bCs/>
                <w:color w:val="000000"/>
                <w:sz w:val="18"/>
                <w:szCs w:val="18"/>
                <w:lang w:eastAsia="en-GB"/>
              </w:rPr>
            </w:pPr>
            <w:r w:rsidRPr="00F264B0">
              <w:rPr>
                <w:rFonts w:cs="Arial"/>
                <w:b/>
                <w:bCs/>
                <w:color w:val="000000"/>
                <w:sz w:val="18"/>
                <w:szCs w:val="18"/>
                <w:lang w:eastAsia="en-GB"/>
              </w:rPr>
              <w:t>Number of main manufacturers (% market share)</w:t>
            </w:r>
          </w:p>
        </w:tc>
        <w:tc>
          <w:tcPr>
            <w:tcW w:w="1971" w:type="dxa"/>
            <w:vMerge w:val="restart"/>
            <w:tcBorders>
              <w:top w:val="single" w:sz="8" w:space="0" w:color="auto"/>
              <w:left w:val="single" w:sz="8" w:space="0" w:color="auto"/>
              <w:bottom w:val="single" w:sz="8" w:space="0" w:color="000000"/>
              <w:right w:val="single" w:sz="8" w:space="0" w:color="auto"/>
            </w:tcBorders>
            <w:shd w:val="pct12" w:color="auto" w:fill="auto"/>
            <w:vAlign w:val="center"/>
            <w:hideMark/>
          </w:tcPr>
          <w:p w14:paraId="4B49B98C" w14:textId="77777777" w:rsidR="00F264B0" w:rsidRPr="00F264B0" w:rsidRDefault="00F264B0" w:rsidP="00F264B0">
            <w:pPr>
              <w:rPr>
                <w:rFonts w:cs="Arial"/>
                <w:b/>
                <w:bCs/>
                <w:color w:val="000000"/>
                <w:sz w:val="18"/>
                <w:szCs w:val="18"/>
                <w:lang w:eastAsia="en-GB"/>
              </w:rPr>
            </w:pPr>
            <w:r w:rsidRPr="00F264B0">
              <w:rPr>
                <w:rFonts w:cs="Arial"/>
                <w:b/>
                <w:bCs/>
                <w:color w:val="000000"/>
                <w:sz w:val="18"/>
                <w:szCs w:val="18"/>
                <w:lang w:eastAsia="en-GB"/>
              </w:rPr>
              <w:t>Reference</w:t>
            </w:r>
          </w:p>
        </w:tc>
      </w:tr>
      <w:tr w:rsidR="00F264B0" w:rsidRPr="00F264B0" w14:paraId="09138197" w14:textId="77777777" w:rsidTr="00EF6A7D">
        <w:trPr>
          <w:trHeight w:val="315"/>
          <w:tblHeader/>
        </w:trPr>
        <w:tc>
          <w:tcPr>
            <w:tcW w:w="2881" w:type="dxa"/>
            <w:tcBorders>
              <w:top w:val="nil"/>
              <w:left w:val="single" w:sz="8" w:space="0" w:color="auto"/>
              <w:bottom w:val="single" w:sz="8" w:space="0" w:color="auto"/>
              <w:right w:val="single" w:sz="8" w:space="0" w:color="auto"/>
            </w:tcBorders>
            <w:shd w:val="pct12" w:color="auto" w:fill="auto"/>
            <w:vAlign w:val="center"/>
            <w:hideMark/>
          </w:tcPr>
          <w:p w14:paraId="0F0A5690" w14:textId="77777777" w:rsidR="00F264B0" w:rsidRPr="00F264B0" w:rsidRDefault="00F264B0" w:rsidP="00F264B0">
            <w:pPr>
              <w:rPr>
                <w:rFonts w:cs="Arial"/>
                <w:color w:val="000000"/>
                <w:sz w:val="18"/>
                <w:szCs w:val="18"/>
                <w:lang w:eastAsia="en-GB"/>
              </w:rPr>
            </w:pPr>
            <w:r w:rsidRPr="00F264B0">
              <w:rPr>
                <w:rFonts w:cs="Arial"/>
                <w:color w:val="000000"/>
                <w:sz w:val="18"/>
                <w:szCs w:val="18"/>
                <w:lang w:eastAsia="en-GB"/>
              </w:rPr>
              <w:t>(% overall share of the Economy)</w:t>
            </w:r>
          </w:p>
        </w:tc>
        <w:tc>
          <w:tcPr>
            <w:tcW w:w="846" w:type="dxa"/>
            <w:vMerge/>
            <w:tcBorders>
              <w:top w:val="single" w:sz="8" w:space="0" w:color="auto"/>
              <w:left w:val="single" w:sz="8" w:space="0" w:color="auto"/>
              <w:bottom w:val="single" w:sz="8" w:space="0" w:color="000000"/>
              <w:right w:val="single" w:sz="8" w:space="0" w:color="auto"/>
            </w:tcBorders>
            <w:shd w:val="pct12" w:color="auto" w:fill="auto"/>
            <w:vAlign w:val="center"/>
            <w:hideMark/>
          </w:tcPr>
          <w:p w14:paraId="1AA7893D" w14:textId="77777777" w:rsidR="00F264B0" w:rsidRPr="00F264B0" w:rsidRDefault="00F264B0" w:rsidP="00F264B0">
            <w:pPr>
              <w:rPr>
                <w:rFonts w:cs="Arial"/>
                <w:b/>
                <w:bCs/>
                <w:color w:val="000000"/>
                <w:sz w:val="18"/>
                <w:szCs w:val="18"/>
                <w:lang w:eastAsia="en-GB"/>
              </w:rPr>
            </w:pPr>
          </w:p>
        </w:tc>
        <w:tc>
          <w:tcPr>
            <w:tcW w:w="1201" w:type="dxa"/>
            <w:vMerge/>
            <w:tcBorders>
              <w:top w:val="single" w:sz="8" w:space="0" w:color="auto"/>
              <w:left w:val="single" w:sz="8" w:space="0" w:color="auto"/>
              <w:bottom w:val="single" w:sz="8" w:space="0" w:color="000000"/>
              <w:right w:val="single" w:sz="8" w:space="0" w:color="auto"/>
            </w:tcBorders>
            <w:shd w:val="pct12" w:color="auto" w:fill="auto"/>
            <w:vAlign w:val="center"/>
            <w:hideMark/>
          </w:tcPr>
          <w:p w14:paraId="2848A21C" w14:textId="77777777" w:rsidR="00F264B0" w:rsidRPr="00F264B0" w:rsidRDefault="00F264B0" w:rsidP="00F264B0">
            <w:pPr>
              <w:rPr>
                <w:rFonts w:cs="Arial"/>
                <w:b/>
                <w:bCs/>
                <w:color w:val="000000"/>
                <w:sz w:val="18"/>
                <w:szCs w:val="18"/>
                <w:lang w:eastAsia="en-GB"/>
              </w:rPr>
            </w:pPr>
          </w:p>
        </w:tc>
        <w:tc>
          <w:tcPr>
            <w:tcW w:w="2173" w:type="dxa"/>
            <w:vMerge/>
            <w:tcBorders>
              <w:top w:val="single" w:sz="8" w:space="0" w:color="auto"/>
              <w:left w:val="single" w:sz="8" w:space="0" w:color="auto"/>
              <w:bottom w:val="single" w:sz="8" w:space="0" w:color="000000"/>
              <w:right w:val="single" w:sz="8" w:space="0" w:color="auto"/>
            </w:tcBorders>
            <w:shd w:val="pct12" w:color="auto" w:fill="auto"/>
            <w:vAlign w:val="center"/>
            <w:hideMark/>
          </w:tcPr>
          <w:p w14:paraId="057FC173" w14:textId="77777777" w:rsidR="00F264B0" w:rsidRPr="00F264B0" w:rsidRDefault="00F264B0" w:rsidP="00F264B0">
            <w:pPr>
              <w:rPr>
                <w:rFonts w:cs="Arial"/>
                <w:b/>
                <w:bCs/>
                <w:color w:val="000000"/>
                <w:sz w:val="18"/>
                <w:szCs w:val="18"/>
                <w:lang w:eastAsia="en-GB"/>
              </w:rPr>
            </w:pPr>
          </w:p>
        </w:tc>
        <w:tc>
          <w:tcPr>
            <w:tcW w:w="1971" w:type="dxa"/>
            <w:vMerge/>
            <w:tcBorders>
              <w:top w:val="single" w:sz="8" w:space="0" w:color="auto"/>
              <w:left w:val="single" w:sz="8" w:space="0" w:color="auto"/>
              <w:bottom w:val="single" w:sz="8" w:space="0" w:color="000000"/>
              <w:right w:val="single" w:sz="8" w:space="0" w:color="auto"/>
            </w:tcBorders>
            <w:shd w:val="pct12" w:color="auto" w:fill="auto"/>
            <w:vAlign w:val="center"/>
            <w:hideMark/>
          </w:tcPr>
          <w:p w14:paraId="112D11E0" w14:textId="77777777" w:rsidR="00F264B0" w:rsidRPr="00F264B0" w:rsidRDefault="00F264B0" w:rsidP="00F264B0">
            <w:pPr>
              <w:rPr>
                <w:rFonts w:cs="Arial"/>
                <w:b/>
                <w:bCs/>
                <w:color w:val="000000"/>
                <w:sz w:val="18"/>
                <w:szCs w:val="18"/>
                <w:lang w:eastAsia="en-GB"/>
              </w:rPr>
            </w:pPr>
          </w:p>
        </w:tc>
      </w:tr>
      <w:tr w:rsidR="00F264B0" w:rsidRPr="00F264B0" w14:paraId="3084C6D8" w14:textId="77777777" w:rsidTr="00EF6A7D">
        <w:trPr>
          <w:trHeight w:val="315"/>
        </w:trPr>
        <w:tc>
          <w:tcPr>
            <w:tcW w:w="2881" w:type="dxa"/>
            <w:tcBorders>
              <w:top w:val="nil"/>
              <w:left w:val="single" w:sz="8" w:space="0" w:color="auto"/>
              <w:bottom w:val="single" w:sz="8" w:space="0" w:color="auto"/>
              <w:right w:val="single" w:sz="8" w:space="0" w:color="auto"/>
            </w:tcBorders>
            <w:shd w:val="clear" w:color="auto" w:fill="auto"/>
            <w:vAlign w:val="center"/>
            <w:hideMark/>
          </w:tcPr>
          <w:p w14:paraId="4C5F2EB5" w14:textId="77777777" w:rsidR="00F264B0" w:rsidRPr="00F264B0" w:rsidRDefault="00F264B0" w:rsidP="00F264B0">
            <w:pPr>
              <w:rPr>
                <w:rFonts w:cs="Arial"/>
                <w:b/>
                <w:bCs/>
                <w:color w:val="000000"/>
                <w:sz w:val="18"/>
                <w:szCs w:val="18"/>
                <w:lang w:eastAsia="en-GB"/>
              </w:rPr>
            </w:pPr>
            <w:r w:rsidRPr="00F264B0">
              <w:rPr>
                <w:rFonts w:cs="Arial"/>
                <w:b/>
                <w:bCs/>
                <w:color w:val="000000"/>
                <w:sz w:val="18"/>
                <w:szCs w:val="18"/>
                <w:lang w:eastAsia="en-GB"/>
              </w:rPr>
              <w:t>Paper/paperboard</w:t>
            </w:r>
          </w:p>
        </w:tc>
        <w:tc>
          <w:tcPr>
            <w:tcW w:w="846" w:type="dxa"/>
            <w:tcBorders>
              <w:top w:val="nil"/>
              <w:left w:val="nil"/>
              <w:bottom w:val="single" w:sz="8" w:space="0" w:color="auto"/>
              <w:right w:val="single" w:sz="8" w:space="0" w:color="auto"/>
            </w:tcBorders>
            <w:shd w:val="clear" w:color="auto" w:fill="auto"/>
            <w:vAlign w:val="center"/>
            <w:hideMark/>
          </w:tcPr>
          <w:p w14:paraId="7A8FC013" w14:textId="77777777" w:rsidR="00F264B0" w:rsidRPr="00F264B0" w:rsidRDefault="00F264B0" w:rsidP="00F264B0">
            <w:pPr>
              <w:jc w:val="center"/>
              <w:rPr>
                <w:rFonts w:cs="Arial"/>
                <w:color w:val="000000"/>
                <w:sz w:val="18"/>
                <w:szCs w:val="18"/>
                <w:lang w:eastAsia="en-GB"/>
              </w:rPr>
            </w:pPr>
            <w:r w:rsidRPr="00F264B0">
              <w:rPr>
                <w:rFonts w:cs="Arial"/>
                <w:color w:val="000000"/>
                <w:sz w:val="18"/>
                <w:szCs w:val="18"/>
                <w:lang w:eastAsia="en-GB"/>
              </w:rPr>
              <w:t>36</w:t>
            </w:r>
          </w:p>
        </w:tc>
        <w:tc>
          <w:tcPr>
            <w:tcW w:w="1201" w:type="dxa"/>
            <w:tcBorders>
              <w:top w:val="nil"/>
              <w:left w:val="nil"/>
              <w:bottom w:val="single" w:sz="8" w:space="0" w:color="auto"/>
              <w:right w:val="single" w:sz="8" w:space="0" w:color="auto"/>
            </w:tcBorders>
            <w:shd w:val="clear" w:color="auto" w:fill="auto"/>
            <w:vAlign w:val="center"/>
            <w:hideMark/>
          </w:tcPr>
          <w:p w14:paraId="77C88F70" w14:textId="77777777" w:rsidR="00F264B0" w:rsidRPr="00F264B0" w:rsidRDefault="00F264B0" w:rsidP="00F264B0">
            <w:pPr>
              <w:jc w:val="center"/>
              <w:rPr>
                <w:rFonts w:cs="Arial"/>
                <w:color w:val="000000"/>
                <w:sz w:val="18"/>
                <w:szCs w:val="18"/>
                <w:lang w:eastAsia="en-GB"/>
              </w:rPr>
            </w:pPr>
            <w:r w:rsidRPr="00F264B0">
              <w:rPr>
                <w:rFonts w:cs="Arial"/>
                <w:color w:val="000000"/>
                <w:sz w:val="18"/>
                <w:szCs w:val="18"/>
                <w:lang w:eastAsia="en-GB"/>
              </w:rPr>
              <w:t> </w:t>
            </w:r>
          </w:p>
        </w:tc>
        <w:tc>
          <w:tcPr>
            <w:tcW w:w="2173" w:type="dxa"/>
            <w:tcBorders>
              <w:top w:val="nil"/>
              <w:left w:val="nil"/>
              <w:bottom w:val="single" w:sz="8" w:space="0" w:color="auto"/>
              <w:right w:val="single" w:sz="8" w:space="0" w:color="auto"/>
            </w:tcBorders>
            <w:shd w:val="clear" w:color="auto" w:fill="auto"/>
            <w:vAlign w:val="center"/>
            <w:hideMark/>
          </w:tcPr>
          <w:p w14:paraId="6433A329" w14:textId="77777777" w:rsidR="00F264B0" w:rsidRPr="00F264B0" w:rsidRDefault="00F264B0" w:rsidP="00F264B0">
            <w:pPr>
              <w:jc w:val="center"/>
              <w:rPr>
                <w:rFonts w:cs="Arial"/>
                <w:color w:val="000000"/>
                <w:sz w:val="18"/>
                <w:szCs w:val="18"/>
                <w:lang w:eastAsia="en-GB"/>
              </w:rPr>
            </w:pPr>
            <w:r w:rsidRPr="00F264B0">
              <w:rPr>
                <w:rFonts w:cs="Arial"/>
                <w:color w:val="000000"/>
                <w:sz w:val="18"/>
                <w:szCs w:val="18"/>
                <w:lang w:eastAsia="en-GB"/>
              </w:rPr>
              <w:t> </w:t>
            </w:r>
          </w:p>
        </w:tc>
        <w:tc>
          <w:tcPr>
            <w:tcW w:w="1971" w:type="dxa"/>
            <w:tcBorders>
              <w:top w:val="nil"/>
              <w:left w:val="nil"/>
              <w:bottom w:val="single" w:sz="8" w:space="0" w:color="auto"/>
              <w:right w:val="single" w:sz="8" w:space="0" w:color="auto"/>
            </w:tcBorders>
            <w:shd w:val="clear" w:color="auto" w:fill="auto"/>
            <w:vAlign w:val="center"/>
            <w:hideMark/>
          </w:tcPr>
          <w:p w14:paraId="2C075641" w14:textId="77777777" w:rsidR="00F264B0" w:rsidRPr="00F264B0" w:rsidRDefault="00F264B0" w:rsidP="00F264B0">
            <w:pPr>
              <w:jc w:val="center"/>
              <w:rPr>
                <w:rFonts w:cs="Arial"/>
                <w:color w:val="000000"/>
                <w:sz w:val="18"/>
                <w:szCs w:val="18"/>
                <w:lang w:eastAsia="en-GB"/>
              </w:rPr>
            </w:pPr>
            <w:r w:rsidRPr="00F264B0">
              <w:rPr>
                <w:rFonts w:cs="Arial"/>
                <w:color w:val="000000"/>
                <w:sz w:val="18"/>
                <w:szCs w:val="18"/>
                <w:lang w:eastAsia="en-GB"/>
              </w:rPr>
              <w:t> </w:t>
            </w:r>
          </w:p>
        </w:tc>
      </w:tr>
      <w:tr w:rsidR="00F264B0" w:rsidRPr="00F264B0" w14:paraId="73C3C3EA" w14:textId="77777777" w:rsidTr="00EF6A7D">
        <w:trPr>
          <w:trHeight w:val="300"/>
        </w:trPr>
        <w:tc>
          <w:tcPr>
            <w:tcW w:w="2881" w:type="dxa"/>
            <w:vMerge w:val="restart"/>
            <w:tcBorders>
              <w:top w:val="nil"/>
              <w:left w:val="single" w:sz="8" w:space="0" w:color="auto"/>
              <w:bottom w:val="single" w:sz="8" w:space="0" w:color="000000"/>
              <w:right w:val="single" w:sz="8" w:space="0" w:color="auto"/>
            </w:tcBorders>
            <w:shd w:val="clear" w:color="auto" w:fill="auto"/>
            <w:vAlign w:val="center"/>
            <w:hideMark/>
          </w:tcPr>
          <w:p w14:paraId="70CD0E07" w14:textId="77777777" w:rsidR="00F264B0" w:rsidRPr="00F264B0" w:rsidRDefault="00F264B0" w:rsidP="00F264B0">
            <w:pPr>
              <w:rPr>
                <w:rFonts w:eastAsia="Symbol" w:cs="Arial"/>
                <w:color w:val="000000"/>
                <w:sz w:val="18"/>
                <w:szCs w:val="18"/>
                <w:lang w:eastAsia="en-GB"/>
              </w:rPr>
            </w:pPr>
            <w:r w:rsidRPr="00F264B0">
              <w:rPr>
                <w:rFonts w:eastAsia="Symbol" w:cs="Arial"/>
                <w:color w:val="000000"/>
                <w:sz w:val="18"/>
                <w:szCs w:val="18"/>
                <w:lang w:eastAsia="en-GB"/>
              </w:rPr>
              <w:t>Pulp, paper and paperboard</w:t>
            </w:r>
          </w:p>
          <w:p w14:paraId="05A02047" w14:textId="77777777" w:rsidR="00F264B0" w:rsidRPr="00F264B0" w:rsidRDefault="00F264B0" w:rsidP="00F264B0">
            <w:pPr>
              <w:rPr>
                <w:rFonts w:cs="Arial"/>
                <w:color w:val="000000"/>
                <w:sz w:val="18"/>
                <w:szCs w:val="18"/>
                <w:lang w:eastAsia="en-GB"/>
              </w:rPr>
            </w:pPr>
            <w:r w:rsidRPr="00F264B0">
              <w:rPr>
                <w:rFonts w:eastAsia="Symbol" w:cs="Arial"/>
                <w:color w:val="000000"/>
                <w:sz w:val="18"/>
                <w:szCs w:val="18"/>
                <w:lang w:eastAsia="en-GB"/>
              </w:rPr>
              <w:t>(0.02%)</w:t>
            </w:r>
          </w:p>
        </w:tc>
        <w:tc>
          <w:tcPr>
            <w:tcW w:w="846" w:type="dxa"/>
            <w:vMerge w:val="restart"/>
            <w:tcBorders>
              <w:top w:val="nil"/>
              <w:left w:val="single" w:sz="8" w:space="0" w:color="auto"/>
              <w:bottom w:val="single" w:sz="8" w:space="0" w:color="000000"/>
              <w:right w:val="single" w:sz="8" w:space="0" w:color="auto"/>
            </w:tcBorders>
            <w:shd w:val="clear" w:color="auto" w:fill="auto"/>
            <w:vAlign w:val="center"/>
            <w:hideMark/>
          </w:tcPr>
          <w:p w14:paraId="6B02EF53" w14:textId="77777777" w:rsidR="00F264B0" w:rsidRPr="00F264B0" w:rsidRDefault="00F264B0" w:rsidP="00F264B0">
            <w:pPr>
              <w:jc w:val="center"/>
              <w:rPr>
                <w:rFonts w:cs="Arial"/>
                <w:color w:val="000000"/>
                <w:sz w:val="18"/>
                <w:szCs w:val="18"/>
                <w:lang w:eastAsia="en-GB"/>
              </w:rPr>
            </w:pPr>
          </w:p>
        </w:tc>
        <w:tc>
          <w:tcPr>
            <w:tcW w:w="1201" w:type="dxa"/>
            <w:vMerge w:val="restart"/>
            <w:tcBorders>
              <w:top w:val="nil"/>
              <w:left w:val="single" w:sz="8" w:space="0" w:color="auto"/>
              <w:bottom w:val="single" w:sz="8" w:space="0" w:color="000000"/>
              <w:right w:val="single" w:sz="8" w:space="0" w:color="auto"/>
            </w:tcBorders>
            <w:shd w:val="clear" w:color="auto" w:fill="auto"/>
            <w:vAlign w:val="center"/>
            <w:hideMark/>
          </w:tcPr>
          <w:p w14:paraId="6AA43172" w14:textId="77777777" w:rsidR="00F264B0" w:rsidRPr="00F264B0" w:rsidRDefault="00F264B0" w:rsidP="00F264B0">
            <w:pPr>
              <w:jc w:val="center"/>
              <w:rPr>
                <w:rFonts w:cs="Arial"/>
                <w:color w:val="000000"/>
                <w:sz w:val="18"/>
                <w:szCs w:val="18"/>
                <w:lang w:eastAsia="en-GB"/>
              </w:rPr>
            </w:pPr>
            <w:r w:rsidRPr="00F264B0">
              <w:rPr>
                <w:rFonts w:cs="Arial"/>
                <w:color w:val="000000"/>
                <w:sz w:val="18"/>
                <w:szCs w:val="18"/>
                <w:lang w:eastAsia="en-GB"/>
              </w:rPr>
              <w:t>187</w:t>
            </w:r>
          </w:p>
        </w:tc>
        <w:tc>
          <w:tcPr>
            <w:tcW w:w="2173" w:type="dxa"/>
            <w:vMerge w:val="restart"/>
            <w:tcBorders>
              <w:top w:val="nil"/>
              <w:left w:val="single" w:sz="8" w:space="0" w:color="auto"/>
              <w:bottom w:val="single" w:sz="8" w:space="0" w:color="000000"/>
              <w:right w:val="single" w:sz="8" w:space="0" w:color="auto"/>
            </w:tcBorders>
            <w:shd w:val="clear" w:color="auto" w:fill="auto"/>
            <w:vAlign w:val="center"/>
            <w:hideMark/>
          </w:tcPr>
          <w:p w14:paraId="3809CAA4" w14:textId="77777777" w:rsidR="00F264B0" w:rsidRPr="00F264B0" w:rsidRDefault="00F264B0" w:rsidP="00F264B0">
            <w:pPr>
              <w:jc w:val="center"/>
              <w:rPr>
                <w:rFonts w:cs="Arial"/>
                <w:color w:val="000000"/>
                <w:sz w:val="18"/>
                <w:szCs w:val="18"/>
                <w:lang w:eastAsia="en-GB"/>
              </w:rPr>
            </w:pPr>
            <w:r w:rsidRPr="00F264B0">
              <w:rPr>
                <w:rFonts w:cs="Arial"/>
                <w:color w:val="000000"/>
                <w:sz w:val="18"/>
                <w:szCs w:val="18"/>
                <w:lang w:eastAsia="en-GB"/>
              </w:rPr>
              <w:t>3 (83.6%)</w:t>
            </w:r>
          </w:p>
        </w:tc>
        <w:tc>
          <w:tcPr>
            <w:tcW w:w="1971" w:type="dxa"/>
            <w:tcBorders>
              <w:top w:val="nil"/>
              <w:left w:val="nil"/>
              <w:bottom w:val="nil"/>
              <w:right w:val="single" w:sz="8" w:space="0" w:color="auto"/>
            </w:tcBorders>
            <w:shd w:val="clear" w:color="auto" w:fill="auto"/>
            <w:vAlign w:val="center"/>
            <w:hideMark/>
          </w:tcPr>
          <w:p w14:paraId="6AAFC274" w14:textId="77777777" w:rsidR="00F264B0" w:rsidRPr="00F264B0" w:rsidRDefault="00F264B0" w:rsidP="00F264B0">
            <w:pPr>
              <w:rPr>
                <w:rFonts w:cs="Arial"/>
                <w:color w:val="000000"/>
                <w:sz w:val="18"/>
                <w:szCs w:val="18"/>
                <w:lang w:eastAsia="en-GB"/>
              </w:rPr>
            </w:pPr>
            <w:r w:rsidRPr="00F264B0">
              <w:rPr>
                <w:rFonts w:cs="Arial"/>
                <w:color w:val="000000"/>
                <w:sz w:val="20"/>
                <w:szCs w:val="20"/>
                <w:lang w:eastAsia="en-GB"/>
              </w:rPr>
              <w:t>Anning, J. (2014a)</w:t>
            </w:r>
          </w:p>
        </w:tc>
      </w:tr>
      <w:tr w:rsidR="00F264B0" w:rsidRPr="00F264B0" w14:paraId="7A465A7C" w14:textId="77777777" w:rsidTr="00EF6A7D">
        <w:trPr>
          <w:trHeight w:val="40"/>
        </w:trPr>
        <w:tc>
          <w:tcPr>
            <w:tcW w:w="2881" w:type="dxa"/>
            <w:vMerge/>
            <w:tcBorders>
              <w:top w:val="nil"/>
              <w:left w:val="single" w:sz="8" w:space="0" w:color="auto"/>
              <w:bottom w:val="single" w:sz="8" w:space="0" w:color="000000"/>
              <w:right w:val="single" w:sz="8" w:space="0" w:color="auto"/>
            </w:tcBorders>
            <w:shd w:val="clear" w:color="auto" w:fill="auto"/>
            <w:vAlign w:val="center"/>
            <w:hideMark/>
          </w:tcPr>
          <w:p w14:paraId="383FD7CD" w14:textId="77777777" w:rsidR="00F264B0" w:rsidRPr="00F264B0" w:rsidRDefault="00F264B0" w:rsidP="00F264B0">
            <w:pPr>
              <w:rPr>
                <w:rFonts w:cs="Arial"/>
                <w:color w:val="000000"/>
                <w:sz w:val="18"/>
                <w:szCs w:val="18"/>
                <w:lang w:eastAsia="en-GB"/>
              </w:rPr>
            </w:pPr>
          </w:p>
        </w:tc>
        <w:tc>
          <w:tcPr>
            <w:tcW w:w="846" w:type="dxa"/>
            <w:vMerge/>
            <w:tcBorders>
              <w:top w:val="nil"/>
              <w:left w:val="single" w:sz="8" w:space="0" w:color="auto"/>
              <w:bottom w:val="single" w:sz="8" w:space="0" w:color="000000"/>
              <w:right w:val="single" w:sz="8" w:space="0" w:color="auto"/>
            </w:tcBorders>
            <w:shd w:val="clear" w:color="auto" w:fill="auto"/>
            <w:vAlign w:val="center"/>
            <w:hideMark/>
          </w:tcPr>
          <w:p w14:paraId="0446AD9E" w14:textId="77777777" w:rsidR="00F264B0" w:rsidRPr="00F264B0" w:rsidRDefault="00F264B0" w:rsidP="00F264B0">
            <w:pPr>
              <w:rPr>
                <w:rFonts w:cs="Arial"/>
                <w:color w:val="000000"/>
                <w:sz w:val="18"/>
                <w:szCs w:val="18"/>
                <w:lang w:eastAsia="en-GB"/>
              </w:rPr>
            </w:pPr>
          </w:p>
        </w:tc>
        <w:tc>
          <w:tcPr>
            <w:tcW w:w="1201" w:type="dxa"/>
            <w:vMerge/>
            <w:tcBorders>
              <w:top w:val="nil"/>
              <w:left w:val="single" w:sz="8" w:space="0" w:color="auto"/>
              <w:bottom w:val="single" w:sz="8" w:space="0" w:color="000000"/>
              <w:right w:val="single" w:sz="8" w:space="0" w:color="auto"/>
            </w:tcBorders>
            <w:shd w:val="clear" w:color="auto" w:fill="auto"/>
            <w:vAlign w:val="center"/>
            <w:hideMark/>
          </w:tcPr>
          <w:p w14:paraId="267F2738" w14:textId="77777777" w:rsidR="00F264B0" w:rsidRPr="00F264B0" w:rsidRDefault="00F264B0" w:rsidP="00F264B0">
            <w:pPr>
              <w:rPr>
                <w:rFonts w:cs="Arial"/>
                <w:color w:val="000000"/>
                <w:sz w:val="18"/>
                <w:szCs w:val="18"/>
                <w:lang w:eastAsia="en-GB"/>
              </w:rPr>
            </w:pPr>
          </w:p>
        </w:tc>
        <w:tc>
          <w:tcPr>
            <w:tcW w:w="2173" w:type="dxa"/>
            <w:vMerge/>
            <w:tcBorders>
              <w:top w:val="nil"/>
              <w:left w:val="single" w:sz="8" w:space="0" w:color="auto"/>
              <w:bottom w:val="single" w:sz="8" w:space="0" w:color="000000"/>
              <w:right w:val="single" w:sz="8" w:space="0" w:color="auto"/>
            </w:tcBorders>
            <w:shd w:val="clear" w:color="auto" w:fill="auto"/>
            <w:vAlign w:val="center"/>
            <w:hideMark/>
          </w:tcPr>
          <w:p w14:paraId="7710583F" w14:textId="77777777" w:rsidR="00F264B0" w:rsidRPr="00F264B0" w:rsidRDefault="00F264B0" w:rsidP="00F264B0">
            <w:pPr>
              <w:rPr>
                <w:rFonts w:cs="Arial"/>
                <w:color w:val="000000"/>
                <w:sz w:val="18"/>
                <w:szCs w:val="18"/>
                <w:lang w:eastAsia="en-GB"/>
              </w:rPr>
            </w:pPr>
          </w:p>
        </w:tc>
        <w:tc>
          <w:tcPr>
            <w:tcW w:w="1971" w:type="dxa"/>
            <w:tcBorders>
              <w:top w:val="nil"/>
              <w:left w:val="nil"/>
              <w:bottom w:val="single" w:sz="8" w:space="0" w:color="auto"/>
              <w:right w:val="single" w:sz="8" w:space="0" w:color="auto"/>
            </w:tcBorders>
            <w:shd w:val="clear" w:color="auto" w:fill="auto"/>
            <w:vAlign w:val="center"/>
            <w:hideMark/>
          </w:tcPr>
          <w:p w14:paraId="49165EF9" w14:textId="77777777" w:rsidR="00F264B0" w:rsidRPr="00F264B0" w:rsidRDefault="00F264B0" w:rsidP="00F264B0">
            <w:pPr>
              <w:rPr>
                <w:rFonts w:cs="Arial"/>
                <w:color w:val="000000"/>
                <w:sz w:val="18"/>
                <w:szCs w:val="18"/>
                <w:lang w:eastAsia="en-GB"/>
              </w:rPr>
            </w:pPr>
          </w:p>
        </w:tc>
      </w:tr>
      <w:tr w:rsidR="00F264B0" w:rsidRPr="00F264B0" w14:paraId="6BBD04E0" w14:textId="77777777" w:rsidTr="00EF6A7D">
        <w:trPr>
          <w:trHeight w:val="300"/>
        </w:trPr>
        <w:tc>
          <w:tcPr>
            <w:tcW w:w="2881" w:type="dxa"/>
            <w:vMerge w:val="restart"/>
            <w:tcBorders>
              <w:top w:val="nil"/>
              <w:left w:val="single" w:sz="8" w:space="0" w:color="auto"/>
              <w:bottom w:val="single" w:sz="8" w:space="0" w:color="000000"/>
              <w:right w:val="single" w:sz="8" w:space="0" w:color="auto"/>
            </w:tcBorders>
            <w:shd w:val="clear" w:color="auto" w:fill="auto"/>
            <w:vAlign w:val="center"/>
            <w:hideMark/>
          </w:tcPr>
          <w:p w14:paraId="780A33B1" w14:textId="77777777" w:rsidR="00F264B0" w:rsidRPr="00F264B0" w:rsidRDefault="00F264B0" w:rsidP="00F264B0">
            <w:pPr>
              <w:rPr>
                <w:rFonts w:cs="Arial"/>
                <w:color w:val="000000"/>
                <w:sz w:val="18"/>
                <w:szCs w:val="18"/>
                <w:lang w:eastAsia="en-GB"/>
              </w:rPr>
            </w:pPr>
            <w:r w:rsidRPr="00F264B0">
              <w:rPr>
                <w:rFonts w:eastAsia="Symbol" w:cs="Arial"/>
                <w:color w:val="000000"/>
                <w:sz w:val="18"/>
                <w:szCs w:val="18"/>
                <w:lang w:eastAsia="en-GB"/>
              </w:rPr>
              <w:t>Paperboard container (0.01%)</w:t>
            </w:r>
          </w:p>
        </w:tc>
        <w:tc>
          <w:tcPr>
            <w:tcW w:w="846" w:type="dxa"/>
            <w:vMerge w:val="restart"/>
            <w:tcBorders>
              <w:top w:val="nil"/>
              <w:left w:val="single" w:sz="8" w:space="0" w:color="auto"/>
              <w:bottom w:val="single" w:sz="8" w:space="0" w:color="000000"/>
              <w:right w:val="single" w:sz="8" w:space="0" w:color="auto"/>
            </w:tcBorders>
            <w:shd w:val="clear" w:color="auto" w:fill="auto"/>
            <w:vAlign w:val="center"/>
            <w:hideMark/>
          </w:tcPr>
          <w:p w14:paraId="3A6DF5AD" w14:textId="77777777" w:rsidR="00F264B0" w:rsidRPr="00F264B0" w:rsidRDefault="00F264B0" w:rsidP="00F264B0">
            <w:pPr>
              <w:jc w:val="center"/>
              <w:rPr>
                <w:rFonts w:cs="Arial"/>
                <w:color w:val="000000"/>
                <w:sz w:val="18"/>
                <w:szCs w:val="18"/>
                <w:lang w:eastAsia="en-GB"/>
              </w:rPr>
            </w:pPr>
            <w:r w:rsidRPr="00F264B0">
              <w:rPr>
                <w:rFonts w:cs="Arial"/>
                <w:color w:val="000000"/>
                <w:sz w:val="18"/>
                <w:szCs w:val="18"/>
                <w:lang w:eastAsia="en-GB"/>
              </w:rPr>
              <w:t> </w:t>
            </w:r>
          </w:p>
        </w:tc>
        <w:tc>
          <w:tcPr>
            <w:tcW w:w="1201" w:type="dxa"/>
            <w:vMerge w:val="restart"/>
            <w:tcBorders>
              <w:top w:val="nil"/>
              <w:left w:val="single" w:sz="8" w:space="0" w:color="auto"/>
              <w:bottom w:val="single" w:sz="8" w:space="0" w:color="000000"/>
              <w:right w:val="single" w:sz="8" w:space="0" w:color="auto"/>
            </w:tcBorders>
            <w:shd w:val="clear" w:color="auto" w:fill="auto"/>
            <w:vAlign w:val="center"/>
            <w:hideMark/>
          </w:tcPr>
          <w:p w14:paraId="2776C8BD" w14:textId="77777777" w:rsidR="00F264B0" w:rsidRPr="00F264B0" w:rsidRDefault="00F264B0" w:rsidP="00F264B0">
            <w:pPr>
              <w:jc w:val="center"/>
              <w:rPr>
                <w:rFonts w:cs="Arial"/>
                <w:color w:val="000000"/>
                <w:sz w:val="18"/>
                <w:szCs w:val="18"/>
                <w:lang w:eastAsia="en-GB"/>
              </w:rPr>
            </w:pPr>
            <w:r w:rsidRPr="00F264B0">
              <w:rPr>
                <w:rFonts w:cs="Arial"/>
                <w:color w:val="000000"/>
                <w:sz w:val="18"/>
                <w:szCs w:val="18"/>
                <w:lang w:eastAsia="en-GB"/>
              </w:rPr>
              <w:t>56</w:t>
            </w:r>
          </w:p>
        </w:tc>
        <w:tc>
          <w:tcPr>
            <w:tcW w:w="2173" w:type="dxa"/>
            <w:vMerge w:val="restart"/>
            <w:tcBorders>
              <w:top w:val="nil"/>
              <w:left w:val="single" w:sz="8" w:space="0" w:color="auto"/>
              <w:bottom w:val="single" w:sz="8" w:space="0" w:color="000000"/>
              <w:right w:val="single" w:sz="8" w:space="0" w:color="auto"/>
            </w:tcBorders>
            <w:shd w:val="clear" w:color="auto" w:fill="auto"/>
            <w:vAlign w:val="center"/>
            <w:hideMark/>
          </w:tcPr>
          <w:p w14:paraId="12FFBACD" w14:textId="77777777" w:rsidR="00F264B0" w:rsidRPr="00F264B0" w:rsidRDefault="00F264B0" w:rsidP="00F264B0">
            <w:pPr>
              <w:jc w:val="center"/>
              <w:rPr>
                <w:rFonts w:cs="Arial"/>
                <w:color w:val="000000"/>
                <w:sz w:val="18"/>
                <w:szCs w:val="18"/>
                <w:lang w:eastAsia="en-GB"/>
              </w:rPr>
            </w:pPr>
            <w:r w:rsidRPr="00F264B0">
              <w:rPr>
                <w:rFonts w:cs="Arial"/>
                <w:color w:val="000000"/>
                <w:sz w:val="18"/>
                <w:szCs w:val="18"/>
                <w:lang w:eastAsia="en-GB"/>
              </w:rPr>
              <w:t>4 (73.4%)</w:t>
            </w:r>
          </w:p>
        </w:tc>
        <w:tc>
          <w:tcPr>
            <w:tcW w:w="1971" w:type="dxa"/>
            <w:tcBorders>
              <w:top w:val="nil"/>
              <w:left w:val="nil"/>
              <w:bottom w:val="nil"/>
              <w:right w:val="single" w:sz="8" w:space="0" w:color="auto"/>
            </w:tcBorders>
            <w:shd w:val="clear" w:color="auto" w:fill="auto"/>
            <w:vAlign w:val="center"/>
            <w:hideMark/>
          </w:tcPr>
          <w:p w14:paraId="77AE1087" w14:textId="77777777" w:rsidR="00F264B0" w:rsidRPr="00F264B0" w:rsidRDefault="00F264B0" w:rsidP="00F264B0">
            <w:pPr>
              <w:rPr>
                <w:rFonts w:cs="Arial"/>
                <w:color w:val="000000"/>
                <w:sz w:val="18"/>
                <w:szCs w:val="18"/>
                <w:lang w:eastAsia="en-GB"/>
              </w:rPr>
            </w:pPr>
            <w:r w:rsidRPr="00F264B0">
              <w:rPr>
                <w:rFonts w:cs="Arial"/>
                <w:color w:val="000000"/>
                <w:sz w:val="20"/>
                <w:szCs w:val="20"/>
                <w:lang w:eastAsia="en-GB"/>
              </w:rPr>
              <w:t>Anning, J. (2014b)</w:t>
            </w:r>
          </w:p>
        </w:tc>
      </w:tr>
      <w:tr w:rsidR="00F264B0" w:rsidRPr="00F264B0" w14:paraId="010C42D0" w14:textId="77777777" w:rsidTr="00EF6A7D">
        <w:trPr>
          <w:trHeight w:val="40"/>
        </w:trPr>
        <w:tc>
          <w:tcPr>
            <w:tcW w:w="2881" w:type="dxa"/>
            <w:vMerge/>
            <w:tcBorders>
              <w:top w:val="nil"/>
              <w:left w:val="single" w:sz="8" w:space="0" w:color="auto"/>
              <w:bottom w:val="single" w:sz="8" w:space="0" w:color="000000"/>
              <w:right w:val="single" w:sz="8" w:space="0" w:color="auto"/>
            </w:tcBorders>
            <w:shd w:val="clear" w:color="auto" w:fill="auto"/>
            <w:vAlign w:val="center"/>
            <w:hideMark/>
          </w:tcPr>
          <w:p w14:paraId="4D70EC8D" w14:textId="77777777" w:rsidR="00F264B0" w:rsidRPr="00F264B0" w:rsidRDefault="00F264B0" w:rsidP="00F264B0">
            <w:pPr>
              <w:rPr>
                <w:rFonts w:cs="Arial"/>
                <w:color w:val="000000"/>
                <w:sz w:val="18"/>
                <w:szCs w:val="18"/>
                <w:lang w:eastAsia="en-GB"/>
              </w:rPr>
            </w:pPr>
          </w:p>
        </w:tc>
        <w:tc>
          <w:tcPr>
            <w:tcW w:w="846" w:type="dxa"/>
            <w:vMerge/>
            <w:tcBorders>
              <w:top w:val="nil"/>
              <w:left w:val="single" w:sz="8" w:space="0" w:color="auto"/>
              <w:bottom w:val="single" w:sz="8" w:space="0" w:color="000000"/>
              <w:right w:val="single" w:sz="8" w:space="0" w:color="auto"/>
            </w:tcBorders>
            <w:shd w:val="clear" w:color="auto" w:fill="auto"/>
            <w:vAlign w:val="center"/>
            <w:hideMark/>
          </w:tcPr>
          <w:p w14:paraId="002FBBB6" w14:textId="77777777" w:rsidR="00F264B0" w:rsidRPr="00F264B0" w:rsidRDefault="00F264B0" w:rsidP="00F264B0">
            <w:pPr>
              <w:rPr>
                <w:rFonts w:cs="Arial"/>
                <w:color w:val="000000"/>
                <w:sz w:val="18"/>
                <w:szCs w:val="18"/>
                <w:lang w:eastAsia="en-GB"/>
              </w:rPr>
            </w:pPr>
          </w:p>
        </w:tc>
        <w:tc>
          <w:tcPr>
            <w:tcW w:w="1201" w:type="dxa"/>
            <w:vMerge/>
            <w:tcBorders>
              <w:top w:val="nil"/>
              <w:left w:val="single" w:sz="8" w:space="0" w:color="auto"/>
              <w:bottom w:val="single" w:sz="8" w:space="0" w:color="000000"/>
              <w:right w:val="single" w:sz="8" w:space="0" w:color="auto"/>
            </w:tcBorders>
            <w:shd w:val="clear" w:color="auto" w:fill="auto"/>
            <w:vAlign w:val="center"/>
            <w:hideMark/>
          </w:tcPr>
          <w:p w14:paraId="4240EA77" w14:textId="77777777" w:rsidR="00F264B0" w:rsidRPr="00F264B0" w:rsidRDefault="00F264B0" w:rsidP="00F264B0">
            <w:pPr>
              <w:rPr>
                <w:rFonts w:cs="Arial"/>
                <w:color w:val="000000"/>
                <w:sz w:val="18"/>
                <w:szCs w:val="18"/>
                <w:lang w:eastAsia="en-GB"/>
              </w:rPr>
            </w:pPr>
          </w:p>
        </w:tc>
        <w:tc>
          <w:tcPr>
            <w:tcW w:w="2173" w:type="dxa"/>
            <w:vMerge/>
            <w:tcBorders>
              <w:top w:val="nil"/>
              <w:left w:val="single" w:sz="8" w:space="0" w:color="auto"/>
              <w:bottom w:val="single" w:sz="8" w:space="0" w:color="000000"/>
              <w:right w:val="single" w:sz="8" w:space="0" w:color="auto"/>
            </w:tcBorders>
            <w:shd w:val="clear" w:color="auto" w:fill="auto"/>
            <w:vAlign w:val="center"/>
            <w:hideMark/>
          </w:tcPr>
          <w:p w14:paraId="4F6FBDA9" w14:textId="77777777" w:rsidR="00F264B0" w:rsidRPr="00F264B0" w:rsidRDefault="00F264B0" w:rsidP="00F264B0">
            <w:pPr>
              <w:rPr>
                <w:rFonts w:cs="Arial"/>
                <w:color w:val="000000"/>
                <w:sz w:val="18"/>
                <w:szCs w:val="18"/>
                <w:lang w:eastAsia="en-GB"/>
              </w:rPr>
            </w:pPr>
          </w:p>
        </w:tc>
        <w:tc>
          <w:tcPr>
            <w:tcW w:w="1971" w:type="dxa"/>
            <w:tcBorders>
              <w:top w:val="nil"/>
              <w:left w:val="nil"/>
              <w:bottom w:val="single" w:sz="8" w:space="0" w:color="auto"/>
              <w:right w:val="single" w:sz="8" w:space="0" w:color="auto"/>
            </w:tcBorders>
            <w:shd w:val="clear" w:color="auto" w:fill="auto"/>
            <w:vAlign w:val="center"/>
            <w:hideMark/>
          </w:tcPr>
          <w:p w14:paraId="0CCBC9E0" w14:textId="77777777" w:rsidR="00F264B0" w:rsidRPr="00F264B0" w:rsidRDefault="00F264B0" w:rsidP="00F264B0">
            <w:pPr>
              <w:jc w:val="right"/>
              <w:rPr>
                <w:rFonts w:cs="Arial"/>
                <w:color w:val="000000"/>
                <w:sz w:val="18"/>
                <w:szCs w:val="18"/>
                <w:lang w:eastAsia="en-GB"/>
              </w:rPr>
            </w:pPr>
          </w:p>
        </w:tc>
      </w:tr>
      <w:tr w:rsidR="00F264B0" w:rsidRPr="00F264B0" w14:paraId="1F46BF0B" w14:textId="77777777" w:rsidTr="00EF6A7D">
        <w:trPr>
          <w:trHeight w:val="300"/>
        </w:trPr>
        <w:tc>
          <w:tcPr>
            <w:tcW w:w="2881" w:type="dxa"/>
            <w:vMerge w:val="restart"/>
            <w:tcBorders>
              <w:top w:val="nil"/>
              <w:left w:val="single" w:sz="8" w:space="0" w:color="auto"/>
              <w:bottom w:val="single" w:sz="8" w:space="0" w:color="000000"/>
              <w:right w:val="single" w:sz="8" w:space="0" w:color="auto"/>
            </w:tcBorders>
            <w:shd w:val="clear" w:color="auto" w:fill="auto"/>
            <w:vAlign w:val="center"/>
            <w:hideMark/>
          </w:tcPr>
          <w:p w14:paraId="4E6BCE06" w14:textId="77777777" w:rsidR="00F264B0" w:rsidRPr="00F264B0" w:rsidRDefault="00F264B0" w:rsidP="00F264B0">
            <w:pPr>
              <w:rPr>
                <w:rFonts w:cs="Arial"/>
                <w:color w:val="000000"/>
                <w:sz w:val="18"/>
                <w:szCs w:val="18"/>
                <w:lang w:eastAsia="en-GB"/>
              </w:rPr>
            </w:pPr>
            <w:r w:rsidRPr="00F264B0">
              <w:rPr>
                <w:rFonts w:eastAsia="Symbol" w:cs="Arial"/>
                <w:color w:val="000000"/>
                <w:sz w:val="18"/>
                <w:szCs w:val="18"/>
                <w:lang w:eastAsia="en-GB"/>
              </w:rPr>
              <w:t>Corrugated paperboard (0.05%)</w:t>
            </w:r>
          </w:p>
        </w:tc>
        <w:tc>
          <w:tcPr>
            <w:tcW w:w="846" w:type="dxa"/>
            <w:vMerge w:val="restart"/>
            <w:tcBorders>
              <w:top w:val="nil"/>
              <w:left w:val="single" w:sz="8" w:space="0" w:color="auto"/>
              <w:bottom w:val="single" w:sz="8" w:space="0" w:color="000000"/>
              <w:right w:val="single" w:sz="8" w:space="0" w:color="auto"/>
            </w:tcBorders>
            <w:shd w:val="clear" w:color="auto" w:fill="auto"/>
            <w:vAlign w:val="center"/>
            <w:hideMark/>
          </w:tcPr>
          <w:p w14:paraId="18CB9952" w14:textId="77777777" w:rsidR="00F264B0" w:rsidRPr="00F264B0" w:rsidRDefault="00F264B0" w:rsidP="00F264B0">
            <w:pPr>
              <w:jc w:val="center"/>
              <w:rPr>
                <w:rFonts w:cs="Arial"/>
                <w:color w:val="000000"/>
                <w:sz w:val="18"/>
                <w:szCs w:val="18"/>
                <w:lang w:eastAsia="en-GB"/>
              </w:rPr>
            </w:pPr>
            <w:r w:rsidRPr="00F264B0">
              <w:rPr>
                <w:rFonts w:cs="Arial"/>
                <w:color w:val="000000"/>
                <w:sz w:val="18"/>
                <w:szCs w:val="18"/>
                <w:lang w:eastAsia="en-GB"/>
              </w:rPr>
              <w:t> </w:t>
            </w:r>
          </w:p>
        </w:tc>
        <w:tc>
          <w:tcPr>
            <w:tcW w:w="1201" w:type="dxa"/>
            <w:vMerge w:val="restart"/>
            <w:tcBorders>
              <w:top w:val="nil"/>
              <w:left w:val="single" w:sz="8" w:space="0" w:color="auto"/>
              <w:bottom w:val="single" w:sz="8" w:space="0" w:color="000000"/>
              <w:right w:val="single" w:sz="8" w:space="0" w:color="auto"/>
            </w:tcBorders>
            <w:shd w:val="clear" w:color="auto" w:fill="auto"/>
            <w:vAlign w:val="center"/>
            <w:hideMark/>
          </w:tcPr>
          <w:p w14:paraId="55C59543" w14:textId="77777777" w:rsidR="00F264B0" w:rsidRPr="00F264B0" w:rsidRDefault="00F264B0" w:rsidP="00F264B0">
            <w:pPr>
              <w:jc w:val="center"/>
              <w:rPr>
                <w:rFonts w:cs="Arial"/>
                <w:color w:val="000000"/>
                <w:sz w:val="18"/>
                <w:szCs w:val="18"/>
                <w:lang w:eastAsia="en-GB"/>
              </w:rPr>
            </w:pPr>
            <w:r w:rsidRPr="00F264B0">
              <w:rPr>
                <w:rFonts w:cs="Arial"/>
                <w:color w:val="000000"/>
                <w:sz w:val="18"/>
                <w:szCs w:val="18"/>
                <w:lang w:eastAsia="en-GB"/>
              </w:rPr>
              <w:t>68</w:t>
            </w:r>
          </w:p>
        </w:tc>
        <w:tc>
          <w:tcPr>
            <w:tcW w:w="2173" w:type="dxa"/>
            <w:vMerge w:val="restart"/>
            <w:tcBorders>
              <w:top w:val="nil"/>
              <w:left w:val="single" w:sz="8" w:space="0" w:color="auto"/>
              <w:bottom w:val="single" w:sz="8" w:space="0" w:color="000000"/>
              <w:right w:val="single" w:sz="8" w:space="0" w:color="auto"/>
            </w:tcBorders>
            <w:shd w:val="clear" w:color="auto" w:fill="auto"/>
            <w:vAlign w:val="center"/>
            <w:hideMark/>
          </w:tcPr>
          <w:p w14:paraId="17FC0734" w14:textId="77777777" w:rsidR="00F264B0" w:rsidRPr="00F264B0" w:rsidRDefault="00F264B0" w:rsidP="00F264B0">
            <w:pPr>
              <w:jc w:val="center"/>
              <w:rPr>
                <w:rFonts w:cs="Arial"/>
                <w:color w:val="000000"/>
                <w:sz w:val="18"/>
                <w:szCs w:val="18"/>
                <w:lang w:eastAsia="en-GB"/>
              </w:rPr>
            </w:pPr>
            <w:r w:rsidRPr="00F264B0">
              <w:rPr>
                <w:rFonts w:cs="Arial"/>
                <w:color w:val="000000"/>
                <w:sz w:val="18"/>
                <w:szCs w:val="18"/>
                <w:lang w:eastAsia="en-GB"/>
              </w:rPr>
              <w:t>2 (95%)</w:t>
            </w:r>
          </w:p>
        </w:tc>
        <w:tc>
          <w:tcPr>
            <w:tcW w:w="1971" w:type="dxa"/>
            <w:tcBorders>
              <w:top w:val="nil"/>
              <w:left w:val="nil"/>
              <w:bottom w:val="nil"/>
              <w:right w:val="single" w:sz="8" w:space="0" w:color="auto"/>
            </w:tcBorders>
            <w:shd w:val="clear" w:color="auto" w:fill="auto"/>
            <w:vAlign w:val="center"/>
            <w:hideMark/>
          </w:tcPr>
          <w:p w14:paraId="3AAD23E4" w14:textId="77777777" w:rsidR="00F264B0" w:rsidRPr="00F264B0" w:rsidRDefault="00F264B0" w:rsidP="00F264B0">
            <w:pPr>
              <w:rPr>
                <w:rFonts w:cs="Arial"/>
                <w:color w:val="000000"/>
                <w:sz w:val="18"/>
                <w:szCs w:val="18"/>
                <w:lang w:eastAsia="en-GB"/>
              </w:rPr>
            </w:pPr>
            <w:r w:rsidRPr="00F264B0">
              <w:rPr>
                <w:rFonts w:cs="Arial"/>
                <w:color w:val="000000"/>
                <w:sz w:val="20"/>
                <w:szCs w:val="20"/>
                <w:lang w:eastAsia="en-GB"/>
              </w:rPr>
              <w:t>Ivanov, A. (2013)</w:t>
            </w:r>
          </w:p>
        </w:tc>
      </w:tr>
      <w:tr w:rsidR="00F264B0" w:rsidRPr="00F264B0" w14:paraId="18B312E6" w14:textId="77777777" w:rsidTr="00EF6A7D">
        <w:trPr>
          <w:trHeight w:val="315"/>
        </w:trPr>
        <w:tc>
          <w:tcPr>
            <w:tcW w:w="2881" w:type="dxa"/>
            <w:vMerge/>
            <w:tcBorders>
              <w:top w:val="nil"/>
              <w:left w:val="single" w:sz="8" w:space="0" w:color="auto"/>
              <w:bottom w:val="single" w:sz="8" w:space="0" w:color="000000"/>
              <w:right w:val="single" w:sz="8" w:space="0" w:color="auto"/>
            </w:tcBorders>
            <w:shd w:val="clear" w:color="auto" w:fill="auto"/>
            <w:vAlign w:val="center"/>
            <w:hideMark/>
          </w:tcPr>
          <w:p w14:paraId="781BBAF8" w14:textId="77777777" w:rsidR="00F264B0" w:rsidRPr="00F264B0" w:rsidRDefault="00F264B0" w:rsidP="00F264B0">
            <w:pPr>
              <w:rPr>
                <w:rFonts w:cs="Arial"/>
                <w:color w:val="000000"/>
                <w:sz w:val="18"/>
                <w:szCs w:val="18"/>
                <w:lang w:eastAsia="en-GB"/>
              </w:rPr>
            </w:pPr>
          </w:p>
        </w:tc>
        <w:tc>
          <w:tcPr>
            <w:tcW w:w="846" w:type="dxa"/>
            <w:vMerge/>
            <w:tcBorders>
              <w:top w:val="nil"/>
              <w:left w:val="single" w:sz="8" w:space="0" w:color="auto"/>
              <w:bottom w:val="single" w:sz="8" w:space="0" w:color="000000"/>
              <w:right w:val="single" w:sz="8" w:space="0" w:color="auto"/>
            </w:tcBorders>
            <w:shd w:val="clear" w:color="auto" w:fill="auto"/>
            <w:vAlign w:val="center"/>
            <w:hideMark/>
          </w:tcPr>
          <w:p w14:paraId="5AE0C237" w14:textId="77777777" w:rsidR="00F264B0" w:rsidRPr="00F264B0" w:rsidRDefault="00F264B0" w:rsidP="00F264B0">
            <w:pPr>
              <w:rPr>
                <w:rFonts w:cs="Arial"/>
                <w:color w:val="000000"/>
                <w:sz w:val="18"/>
                <w:szCs w:val="18"/>
                <w:lang w:eastAsia="en-GB"/>
              </w:rPr>
            </w:pPr>
          </w:p>
        </w:tc>
        <w:tc>
          <w:tcPr>
            <w:tcW w:w="1201" w:type="dxa"/>
            <w:vMerge/>
            <w:tcBorders>
              <w:top w:val="nil"/>
              <w:left w:val="single" w:sz="8" w:space="0" w:color="auto"/>
              <w:bottom w:val="single" w:sz="8" w:space="0" w:color="000000"/>
              <w:right w:val="single" w:sz="8" w:space="0" w:color="auto"/>
            </w:tcBorders>
            <w:shd w:val="clear" w:color="auto" w:fill="auto"/>
            <w:vAlign w:val="center"/>
            <w:hideMark/>
          </w:tcPr>
          <w:p w14:paraId="7B879710" w14:textId="77777777" w:rsidR="00F264B0" w:rsidRPr="00F264B0" w:rsidRDefault="00F264B0" w:rsidP="00F264B0">
            <w:pPr>
              <w:rPr>
                <w:rFonts w:cs="Arial"/>
                <w:color w:val="000000"/>
                <w:sz w:val="18"/>
                <w:szCs w:val="18"/>
                <w:lang w:eastAsia="en-GB"/>
              </w:rPr>
            </w:pPr>
          </w:p>
        </w:tc>
        <w:tc>
          <w:tcPr>
            <w:tcW w:w="2173" w:type="dxa"/>
            <w:vMerge/>
            <w:tcBorders>
              <w:top w:val="nil"/>
              <w:left w:val="single" w:sz="8" w:space="0" w:color="auto"/>
              <w:bottom w:val="single" w:sz="8" w:space="0" w:color="000000"/>
              <w:right w:val="single" w:sz="8" w:space="0" w:color="auto"/>
            </w:tcBorders>
            <w:shd w:val="clear" w:color="auto" w:fill="auto"/>
            <w:vAlign w:val="center"/>
            <w:hideMark/>
          </w:tcPr>
          <w:p w14:paraId="1BBB2DE9" w14:textId="77777777" w:rsidR="00F264B0" w:rsidRPr="00F264B0" w:rsidRDefault="00F264B0" w:rsidP="00F264B0">
            <w:pPr>
              <w:rPr>
                <w:rFonts w:cs="Arial"/>
                <w:color w:val="000000"/>
                <w:sz w:val="18"/>
                <w:szCs w:val="18"/>
                <w:lang w:eastAsia="en-GB"/>
              </w:rPr>
            </w:pPr>
          </w:p>
        </w:tc>
        <w:tc>
          <w:tcPr>
            <w:tcW w:w="1971" w:type="dxa"/>
            <w:tcBorders>
              <w:top w:val="nil"/>
              <w:left w:val="nil"/>
              <w:bottom w:val="single" w:sz="8" w:space="0" w:color="auto"/>
              <w:right w:val="single" w:sz="8" w:space="0" w:color="auto"/>
            </w:tcBorders>
            <w:shd w:val="clear" w:color="auto" w:fill="auto"/>
            <w:vAlign w:val="center"/>
            <w:hideMark/>
          </w:tcPr>
          <w:p w14:paraId="76DD091A" w14:textId="77777777" w:rsidR="00F264B0" w:rsidRPr="00F264B0" w:rsidRDefault="00F264B0" w:rsidP="00F264B0">
            <w:pPr>
              <w:jc w:val="right"/>
              <w:rPr>
                <w:rFonts w:cs="Arial"/>
                <w:color w:val="000000"/>
                <w:sz w:val="18"/>
                <w:szCs w:val="18"/>
                <w:lang w:eastAsia="en-GB"/>
              </w:rPr>
            </w:pPr>
          </w:p>
        </w:tc>
      </w:tr>
      <w:tr w:rsidR="00F264B0" w:rsidRPr="00F264B0" w14:paraId="2F85217F" w14:textId="77777777" w:rsidTr="00EF6A7D">
        <w:trPr>
          <w:trHeight w:val="300"/>
        </w:trPr>
        <w:tc>
          <w:tcPr>
            <w:tcW w:w="2881" w:type="dxa"/>
            <w:vMerge w:val="restart"/>
            <w:tcBorders>
              <w:top w:val="nil"/>
              <w:left w:val="single" w:sz="8" w:space="0" w:color="auto"/>
              <w:bottom w:val="single" w:sz="8" w:space="0" w:color="000000"/>
              <w:right w:val="single" w:sz="8" w:space="0" w:color="auto"/>
            </w:tcBorders>
            <w:shd w:val="clear" w:color="auto" w:fill="auto"/>
            <w:vAlign w:val="center"/>
            <w:hideMark/>
          </w:tcPr>
          <w:p w14:paraId="28E8BCF9" w14:textId="77777777" w:rsidR="00F264B0" w:rsidRPr="00F264B0" w:rsidRDefault="00F264B0" w:rsidP="00F264B0">
            <w:pPr>
              <w:rPr>
                <w:rFonts w:cs="Arial"/>
                <w:color w:val="000000"/>
                <w:sz w:val="18"/>
                <w:szCs w:val="18"/>
                <w:lang w:eastAsia="en-GB"/>
              </w:rPr>
            </w:pPr>
            <w:r w:rsidRPr="00F264B0">
              <w:rPr>
                <w:rFonts w:eastAsia="Symbol" w:cs="Arial"/>
                <w:color w:val="000000"/>
                <w:sz w:val="18"/>
                <w:szCs w:val="18"/>
                <w:lang w:eastAsia="en-GB"/>
              </w:rPr>
              <w:t xml:space="preserve">Paper bag </w:t>
            </w:r>
          </w:p>
        </w:tc>
        <w:tc>
          <w:tcPr>
            <w:tcW w:w="846" w:type="dxa"/>
            <w:vMerge w:val="restart"/>
            <w:tcBorders>
              <w:top w:val="nil"/>
              <w:left w:val="single" w:sz="8" w:space="0" w:color="auto"/>
              <w:bottom w:val="single" w:sz="8" w:space="0" w:color="000000"/>
              <w:right w:val="single" w:sz="8" w:space="0" w:color="auto"/>
            </w:tcBorders>
            <w:shd w:val="clear" w:color="auto" w:fill="auto"/>
            <w:vAlign w:val="center"/>
            <w:hideMark/>
          </w:tcPr>
          <w:p w14:paraId="03A677E0" w14:textId="77777777" w:rsidR="00F264B0" w:rsidRPr="00F264B0" w:rsidRDefault="00F264B0" w:rsidP="00F264B0">
            <w:pPr>
              <w:jc w:val="center"/>
              <w:rPr>
                <w:rFonts w:cs="Arial"/>
                <w:color w:val="000000"/>
                <w:sz w:val="18"/>
                <w:szCs w:val="18"/>
                <w:lang w:eastAsia="en-GB"/>
              </w:rPr>
            </w:pPr>
          </w:p>
        </w:tc>
        <w:tc>
          <w:tcPr>
            <w:tcW w:w="1201" w:type="dxa"/>
            <w:vMerge w:val="restart"/>
            <w:tcBorders>
              <w:top w:val="nil"/>
              <w:left w:val="single" w:sz="8" w:space="0" w:color="auto"/>
              <w:bottom w:val="single" w:sz="8" w:space="0" w:color="000000"/>
              <w:right w:val="single" w:sz="8" w:space="0" w:color="auto"/>
            </w:tcBorders>
            <w:shd w:val="clear" w:color="auto" w:fill="auto"/>
            <w:vAlign w:val="center"/>
            <w:hideMark/>
          </w:tcPr>
          <w:p w14:paraId="24517091" w14:textId="77777777" w:rsidR="00F264B0" w:rsidRPr="00F264B0" w:rsidRDefault="00F264B0" w:rsidP="00F264B0">
            <w:pPr>
              <w:jc w:val="center"/>
              <w:rPr>
                <w:rFonts w:cs="Arial"/>
                <w:color w:val="000000"/>
                <w:sz w:val="18"/>
                <w:szCs w:val="18"/>
                <w:lang w:eastAsia="en-GB"/>
              </w:rPr>
            </w:pPr>
            <w:r w:rsidRPr="00F264B0">
              <w:rPr>
                <w:rFonts w:cs="Arial"/>
                <w:color w:val="000000"/>
                <w:sz w:val="18"/>
                <w:szCs w:val="18"/>
                <w:lang w:eastAsia="en-GB"/>
              </w:rPr>
              <w:t>184</w:t>
            </w:r>
          </w:p>
        </w:tc>
        <w:tc>
          <w:tcPr>
            <w:tcW w:w="2173" w:type="dxa"/>
            <w:vMerge w:val="restart"/>
            <w:tcBorders>
              <w:top w:val="nil"/>
              <w:left w:val="single" w:sz="8" w:space="0" w:color="auto"/>
              <w:bottom w:val="single" w:sz="8" w:space="0" w:color="000000"/>
              <w:right w:val="single" w:sz="8" w:space="0" w:color="auto"/>
            </w:tcBorders>
            <w:shd w:val="clear" w:color="auto" w:fill="auto"/>
            <w:vAlign w:val="center"/>
            <w:hideMark/>
          </w:tcPr>
          <w:p w14:paraId="63583A3F" w14:textId="77777777" w:rsidR="00F264B0" w:rsidRPr="00F264B0" w:rsidRDefault="00F264B0" w:rsidP="00F264B0">
            <w:pPr>
              <w:jc w:val="center"/>
              <w:rPr>
                <w:rFonts w:cs="Arial"/>
                <w:color w:val="000000"/>
                <w:sz w:val="18"/>
                <w:szCs w:val="18"/>
                <w:lang w:eastAsia="en-GB"/>
              </w:rPr>
            </w:pPr>
            <w:r w:rsidRPr="00F264B0">
              <w:rPr>
                <w:rFonts w:cs="Arial"/>
                <w:color w:val="000000"/>
                <w:sz w:val="18"/>
                <w:szCs w:val="18"/>
                <w:lang w:eastAsia="en-GB"/>
              </w:rPr>
              <w:t>4 (50%)</w:t>
            </w:r>
          </w:p>
        </w:tc>
        <w:tc>
          <w:tcPr>
            <w:tcW w:w="1971" w:type="dxa"/>
            <w:tcBorders>
              <w:top w:val="single" w:sz="8" w:space="0" w:color="auto"/>
              <w:left w:val="nil"/>
              <w:bottom w:val="nil"/>
              <w:right w:val="single" w:sz="8" w:space="0" w:color="auto"/>
            </w:tcBorders>
            <w:shd w:val="clear" w:color="auto" w:fill="auto"/>
            <w:vAlign w:val="center"/>
            <w:hideMark/>
          </w:tcPr>
          <w:p w14:paraId="4ABF7F58" w14:textId="77777777" w:rsidR="00F264B0" w:rsidRPr="00F264B0" w:rsidRDefault="00F264B0" w:rsidP="00F264B0">
            <w:pPr>
              <w:rPr>
                <w:rFonts w:cs="Arial"/>
                <w:color w:val="000000"/>
                <w:sz w:val="18"/>
                <w:szCs w:val="18"/>
                <w:lang w:eastAsia="en-GB"/>
              </w:rPr>
            </w:pPr>
            <w:r w:rsidRPr="00F264B0">
              <w:rPr>
                <w:rFonts w:cs="Arial"/>
                <w:color w:val="000000"/>
                <w:sz w:val="18"/>
                <w:szCs w:val="18"/>
                <w:lang w:eastAsia="en-GB"/>
              </w:rPr>
              <w:t>Gargano, S. ( 2014)</w:t>
            </w:r>
          </w:p>
        </w:tc>
      </w:tr>
      <w:tr w:rsidR="00F264B0" w:rsidRPr="00F264B0" w14:paraId="268A4124" w14:textId="77777777" w:rsidTr="00EF6A7D">
        <w:trPr>
          <w:trHeight w:val="315"/>
        </w:trPr>
        <w:tc>
          <w:tcPr>
            <w:tcW w:w="2881" w:type="dxa"/>
            <w:vMerge/>
            <w:tcBorders>
              <w:top w:val="nil"/>
              <w:left w:val="single" w:sz="8" w:space="0" w:color="auto"/>
              <w:bottom w:val="single" w:sz="4" w:space="0" w:color="auto"/>
              <w:right w:val="single" w:sz="8" w:space="0" w:color="auto"/>
            </w:tcBorders>
            <w:shd w:val="pct10" w:color="auto" w:fill="auto"/>
            <w:vAlign w:val="center"/>
            <w:hideMark/>
          </w:tcPr>
          <w:p w14:paraId="2162C667" w14:textId="77777777" w:rsidR="00F264B0" w:rsidRPr="00F264B0" w:rsidRDefault="00F264B0" w:rsidP="00F264B0">
            <w:pPr>
              <w:rPr>
                <w:rFonts w:cs="Arial"/>
                <w:color w:val="000000"/>
                <w:sz w:val="18"/>
                <w:szCs w:val="18"/>
                <w:lang w:eastAsia="en-GB"/>
              </w:rPr>
            </w:pPr>
          </w:p>
        </w:tc>
        <w:tc>
          <w:tcPr>
            <w:tcW w:w="846" w:type="dxa"/>
            <w:vMerge/>
            <w:tcBorders>
              <w:top w:val="nil"/>
              <w:left w:val="single" w:sz="8" w:space="0" w:color="auto"/>
              <w:bottom w:val="single" w:sz="8" w:space="0" w:color="000000"/>
              <w:right w:val="single" w:sz="8" w:space="0" w:color="auto"/>
            </w:tcBorders>
            <w:shd w:val="pct10" w:color="auto" w:fill="auto"/>
            <w:vAlign w:val="center"/>
            <w:hideMark/>
          </w:tcPr>
          <w:p w14:paraId="656218E9" w14:textId="77777777" w:rsidR="00F264B0" w:rsidRPr="00F264B0" w:rsidRDefault="00F264B0" w:rsidP="00F264B0">
            <w:pPr>
              <w:rPr>
                <w:rFonts w:cs="Arial"/>
                <w:color w:val="000000"/>
                <w:sz w:val="18"/>
                <w:szCs w:val="18"/>
                <w:lang w:eastAsia="en-GB"/>
              </w:rPr>
            </w:pPr>
          </w:p>
        </w:tc>
        <w:tc>
          <w:tcPr>
            <w:tcW w:w="1201" w:type="dxa"/>
            <w:vMerge/>
            <w:tcBorders>
              <w:top w:val="nil"/>
              <w:left w:val="single" w:sz="8" w:space="0" w:color="auto"/>
              <w:bottom w:val="single" w:sz="8" w:space="0" w:color="000000"/>
              <w:right w:val="single" w:sz="8" w:space="0" w:color="auto"/>
            </w:tcBorders>
            <w:shd w:val="pct10" w:color="auto" w:fill="auto"/>
            <w:vAlign w:val="center"/>
            <w:hideMark/>
          </w:tcPr>
          <w:p w14:paraId="7F628506" w14:textId="77777777" w:rsidR="00F264B0" w:rsidRPr="00F264B0" w:rsidRDefault="00F264B0" w:rsidP="00F264B0">
            <w:pPr>
              <w:rPr>
                <w:rFonts w:cs="Arial"/>
                <w:color w:val="000000"/>
                <w:sz w:val="18"/>
                <w:szCs w:val="18"/>
                <w:lang w:eastAsia="en-GB"/>
              </w:rPr>
            </w:pPr>
          </w:p>
        </w:tc>
        <w:tc>
          <w:tcPr>
            <w:tcW w:w="2173" w:type="dxa"/>
            <w:vMerge/>
            <w:tcBorders>
              <w:top w:val="nil"/>
              <w:left w:val="single" w:sz="8" w:space="0" w:color="auto"/>
              <w:bottom w:val="single" w:sz="8" w:space="0" w:color="000000"/>
              <w:right w:val="single" w:sz="8" w:space="0" w:color="auto"/>
            </w:tcBorders>
            <w:shd w:val="pct10" w:color="auto" w:fill="auto"/>
            <w:vAlign w:val="center"/>
            <w:hideMark/>
          </w:tcPr>
          <w:p w14:paraId="019623FB" w14:textId="77777777" w:rsidR="00F264B0" w:rsidRPr="00F264B0" w:rsidRDefault="00F264B0" w:rsidP="00F264B0">
            <w:pPr>
              <w:rPr>
                <w:rFonts w:cs="Arial"/>
                <w:color w:val="000000"/>
                <w:sz w:val="18"/>
                <w:szCs w:val="18"/>
                <w:lang w:eastAsia="en-GB"/>
              </w:rPr>
            </w:pPr>
          </w:p>
        </w:tc>
        <w:tc>
          <w:tcPr>
            <w:tcW w:w="1971" w:type="dxa"/>
            <w:tcBorders>
              <w:top w:val="nil"/>
              <w:left w:val="nil"/>
              <w:bottom w:val="single" w:sz="8" w:space="0" w:color="auto"/>
              <w:right w:val="single" w:sz="8" w:space="0" w:color="auto"/>
            </w:tcBorders>
            <w:shd w:val="clear" w:color="auto" w:fill="auto"/>
            <w:vAlign w:val="center"/>
            <w:hideMark/>
          </w:tcPr>
          <w:p w14:paraId="77EEFDC4" w14:textId="77777777" w:rsidR="00F264B0" w:rsidRPr="00F264B0" w:rsidRDefault="00F264B0" w:rsidP="00F264B0">
            <w:pPr>
              <w:jc w:val="right"/>
              <w:rPr>
                <w:rFonts w:cs="Arial"/>
                <w:color w:val="000000"/>
                <w:sz w:val="18"/>
                <w:szCs w:val="18"/>
                <w:lang w:eastAsia="en-GB"/>
              </w:rPr>
            </w:pPr>
          </w:p>
        </w:tc>
      </w:tr>
      <w:tr w:rsidR="00F264B0" w:rsidRPr="00F264B0" w14:paraId="211E74E7" w14:textId="77777777" w:rsidTr="00EF6A7D">
        <w:trPr>
          <w:trHeight w:val="315"/>
        </w:trPr>
        <w:tc>
          <w:tcPr>
            <w:tcW w:w="2881"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20F1C78A" w14:textId="77777777" w:rsidR="00F264B0" w:rsidRPr="00F264B0" w:rsidRDefault="00F264B0" w:rsidP="00F264B0">
            <w:pPr>
              <w:keepNext/>
              <w:keepLines/>
              <w:rPr>
                <w:rFonts w:cs="Arial"/>
                <w:b/>
                <w:bCs/>
                <w:color w:val="000000"/>
                <w:sz w:val="18"/>
                <w:szCs w:val="18"/>
                <w:lang w:eastAsia="en-GB"/>
              </w:rPr>
            </w:pPr>
            <w:r w:rsidRPr="00F264B0">
              <w:rPr>
                <w:rFonts w:cs="Arial"/>
                <w:b/>
                <w:bCs/>
                <w:color w:val="000000"/>
                <w:sz w:val="18"/>
                <w:szCs w:val="18"/>
                <w:lang w:eastAsia="en-GB"/>
              </w:rPr>
              <w:t>Plastics</w:t>
            </w:r>
          </w:p>
        </w:tc>
        <w:tc>
          <w:tcPr>
            <w:tcW w:w="846" w:type="dxa"/>
            <w:tcBorders>
              <w:top w:val="nil"/>
              <w:left w:val="single" w:sz="4" w:space="0" w:color="auto"/>
              <w:bottom w:val="single" w:sz="8" w:space="0" w:color="auto"/>
              <w:right w:val="single" w:sz="8" w:space="0" w:color="auto"/>
            </w:tcBorders>
            <w:shd w:val="pct12" w:color="auto" w:fill="auto"/>
            <w:vAlign w:val="center"/>
            <w:hideMark/>
          </w:tcPr>
          <w:p w14:paraId="7680BB37" w14:textId="77777777" w:rsidR="00F264B0" w:rsidRPr="00F264B0" w:rsidRDefault="00F264B0" w:rsidP="00F264B0">
            <w:pPr>
              <w:keepNext/>
              <w:keepLines/>
              <w:jc w:val="center"/>
              <w:rPr>
                <w:rFonts w:cs="Arial"/>
                <w:color w:val="000000"/>
                <w:sz w:val="18"/>
                <w:szCs w:val="18"/>
                <w:lang w:eastAsia="en-GB"/>
              </w:rPr>
            </w:pPr>
            <w:r w:rsidRPr="00F264B0">
              <w:rPr>
                <w:rFonts w:cs="Arial"/>
                <w:color w:val="000000"/>
                <w:sz w:val="18"/>
                <w:szCs w:val="18"/>
                <w:lang w:eastAsia="en-GB"/>
              </w:rPr>
              <w:t>30</w:t>
            </w:r>
          </w:p>
        </w:tc>
        <w:tc>
          <w:tcPr>
            <w:tcW w:w="1201" w:type="dxa"/>
            <w:tcBorders>
              <w:top w:val="nil"/>
              <w:left w:val="nil"/>
              <w:bottom w:val="single" w:sz="8" w:space="0" w:color="auto"/>
              <w:right w:val="single" w:sz="8" w:space="0" w:color="auto"/>
            </w:tcBorders>
            <w:shd w:val="pct12" w:color="auto" w:fill="auto"/>
            <w:vAlign w:val="center"/>
            <w:hideMark/>
          </w:tcPr>
          <w:p w14:paraId="439B3520" w14:textId="77777777" w:rsidR="00F264B0" w:rsidRPr="00F264B0" w:rsidRDefault="00F264B0" w:rsidP="00F264B0">
            <w:pPr>
              <w:keepNext/>
              <w:keepLines/>
              <w:jc w:val="center"/>
              <w:rPr>
                <w:rFonts w:cs="Arial"/>
                <w:color w:val="000000"/>
                <w:sz w:val="18"/>
                <w:szCs w:val="18"/>
                <w:lang w:eastAsia="en-GB"/>
              </w:rPr>
            </w:pPr>
            <w:r w:rsidRPr="00F264B0">
              <w:rPr>
                <w:rFonts w:cs="Arial"/>
                <w:color w:val="000000"/>
                <w:sz w:val="18"/>
                <w:szCs w:val="18"/>
                <w:lang w:eastAsia="en-GB"/>
              </w:rPr>
              <w:t> </w:t>
            </w:r>
          </w:p>
        </w:tc>
        <w:tc>
          <w:tcPr>
            <w:tcW w:w="2173" w:type="dxa"/>
            <w:tcBorders>
              <w:top w:val="nil"/>
              <w:left w:val="nil"/>
              <w:bottom w:val="single" w:sz="8" w:space="0" w:color="auto"/>
              <w:right w:val="single" w:sz="8" w:space="0" w:color="auto"/>
            </w:tcBorders>
            <w:shd w:val="pct12" w:color="auto" w:fill="auto"/>
            <w:vAlign w:val="center"/>
            <w:hideMark/>
          </w:tcPr>
          <w:p w14:paraId="3451E81D" w14:textId="77777777" w:rsidR="00F264B0" w:rsidRPr="00F264B0" w:rsidRDefault="00F264B0" w:rsidP="00F264B0">
            <w:pPr>
              <w:keepNext/>
              <w:keepLines/>
              <w:jc w:val="center"/>
              <w:rPr>
                <w:rFonts w:cs="Arial"/>
                <w:color w:val="000000"/>
                <w:sz w:val="18"/>
                <w:szCs w:val="18"/>
                <w:lang w:eastAsia="en-GB"/>
              </w:rPr>
            </w:pPr>
            <w:r w:rsidRPr="00F264B0">
              <w:rPr>
                <w:rFonts w:cs="Arial"/>
                <w:color w:val="000000"/>
                <w:sz w:val="18"/>
                <w:szCs w:val="18"/>
                <w:lang w:eastAsia="en-GB"/>
              </w:rPr>
              <w:t> </w:t>
            </w:r>
          </w:p>
        </w:tc>
        <w:tc>
          <w:tcPr>
            <w:tcW w:w="1971" w:type="dxa"/>
            <w:tcBorders>
              <w:top w:val="nil"/>
              <w:left w:val="nil"/>
              <w:bottom w:val="single" w:sz="8" w:space="0" w:color="auto"/>
              <w:right w:val="single" w:sz="8" w:space="0" w:color="auto"/>
            </w:tcBorders>
            <w:shd w:val="pct12" w:color="auto" w:fill="auto"/>
            <w:vAlign w:val="center"/>
            <w:hideMark/>
          </w:tcPr>
          <w:p w14:paraId="4542720F" w14:textId="77777777" w:rsidR="00F264B0" w:rsidRPr="00F264B0" w:rsidRDefault="00F264B0" w:rsidP="00F264B0">
            <w:pPr>
              <w:keepNext/>
              <w:keepLines/>
              <w:jc w:val="center"/>
              <w:rPr>
                <w:rFonts w:cs="Arial"/>
                <w:color w:val="000000"/>
                <w:sz w:val="18"/>
                <w:szCs w:val="18"/>
                <w:lang w:eastAsia="en-GB"/>
              </w:rPr>
            </w:pPr>
            <w:r w:rsidRPr="00F264B0">
              <w:rPr>
                <w:rFonts w:cs="Arial"/>
                <w:color w:val="000000"/>
                <w:sz w:val="18"/>
                <w:szCs w:val="18"/>
                <w:lang w:eastAsia="en-GB"/>
              </w:rPr>
              <w:t> </w:t>
            </w:r>
          </w:p>
        </w:tc>
      </w:tr>
      <w:tr w:rsidR="00F264B0" w:rsidRPr="00F264B0" w14:paraId="105BDCD2" w14:textId="77777777" w:rsidTr="00EF6A7D">
        <w:trPr>
          <w:trHeight w:val="300"/>
        </w:trPr>
        <w:tc>
          <w:tcPr>
            <w:tcW w:w="2881" w:type="dxa"/>
            <w:vMerge w:val="restart"/>
            <w:tcBorders>
              <w:top w:val="nil"/>
              <w:left w:val="single" w:sz="4" w:space="0" w:color="auto"/>
              <w:bottom w:val="single" w:sz="4" w:space="0" w:color="auto"/>
              <w:right w:val="single" w:sz="4" w:space="0" w:color="auto"/>
            </w:tcBorders>
            <w:shd w:val="pct12" w:color="auto" w:fill="auto"/>
            <w:vAlign w:val="center"/>
            <w:hideMark/>
          </w:tcPr>
          <w:p w14:paraId="28779863" w14:textId="77777777" w:rsidR="00F264B0" w:rsidRPr="00F264B0" w:rsidRDefault="00F264B0" w:rsidP="00F264B0">
            <w:pPr>
              <w:keepNext/>
              <w:keepLines/>
              <w:rPr>
                <w:rFonts w:cs="Arial"/>
                <w:color w:val="000000"/>
                <w:sz w:val="18"/>
                <w:szCs w:val="18"/>
                <w:lang w:eastAsia="en-GB"/>
              </w:rPr>
            </w:pPr>
            <w:r w:rsidRPr="00F264B0">
              <w:rPr>
                <w:rFonts w:eastAsia="Symbol" w:cs="Arial"/>
                <w:color w:val="000000"/>
                <w:sz w:val="18"/>
                <w:szCs w:val="18"/>
                <w:lang w:eastAsia="en-GB"/>
              </w:rPr>
              <w:t>Plastic blow-moulded (0.03%)</w:t>
            </w:r>
          </w:p>
        </w:tc>
        <w:tc>
          <w:tcPr>
            <w:tcW w:w="846" w:type="dxa"/>
            <w:vMerge w:val="restart"/>
            <w:tcBorders>
              <w:top w:val="nil"/>
              <w:left w:val="single" w:sz="4" w:space="0" w:color="auto"/>
              <w:bottom w:val="single" w:sz="8" w:space="0" w:color="000000"/>
              <w:right w:val="single" w:sz="8" w:space="0" w:color="auto"/>
            </w:tcBorders>
            <w:shd w:val="pct12" w:color="auto" w:fill="auto"/>
            <w:vAlign w:val="center"/>
            <w:hideMark/>
          </w:tcPr>
          <w:p w14:paraId="0F1DD8F9" w14:textId="77777777" w:rsidR="00F264B0" w:rsidRPr="00F264B0" w:rsidRDefault="00F264B0" w:rsidP="00F264B0">
            <w:pPr>
              <w:keepNext/>
              <w:keepLines/>
              <w:jc w:val="center"/>
              <w:rPr>
                <w:rFonts w:cs="Arial"/>
                <w:color w:val="000000"/>
                <w:sz w:val="18"/>
                <w:szCs w:val="18"/>
                <w:lang w:eastAsia="en-GB"/>
              </w:rPr>
            </w:pPr>
            <w:r w:rsidRPr="00F264B0">
              <w:rPr>
                <w:rFonts w:cs="Arial"/>
                <w:color w:val="000000"/>
                <w:sz w:val="18"/>
                <w:szCs w:val="18"/>
                <w:lang w:eastAsia="en-GB"/>
              </w:rPr>
              <w:t> </w:t>
            </w:r>
          </w:p>
        </w:tc>
        <w:tc>
          <w:tcPr>
            <w:tcW w:w="1201" w:type="dxa"/>
            <w:vMerge w:val="restart"/>
            <w:tcBorders>
              <w:top w:val="nil"/>
              <w:left w:val="single" w:sz="8" w:space="0" w:color="auto"/>
              <w:bottom w:val="single" w:sz="8" w:space="0" w:color="000000"/>
              <w:right w:val="single" w:sz="8" w:space="0" w:color="auto"/>
            </w:tcBorders>
            <w:shd w:val="pct12" w:color="auto" w:fill="auto"/>
            <w:vAlign w:val="center"/>
            <w:hideMark/>
          </w:tcPr>
          <w:p w14:paraId="0719751E" w14:textId="77777777" w:rsidR="00F264B0" w:rsidRPr="00F264B0" w:rsidRDefault="00F264B0" w:rsidP="00F264B0">
            <w:pPr>
              <w:keepNext/>
              <w:keepLines/>
              <w:jc w:val="center"/>
              <w:rPr>
                <w:rFonts w:cs="Arial"/>
                <w:color w:val="000000"/>
                <w:sz w:val="18"/>
                <w:szCs w:val="18"/>
                <w:lang w:eastAsia="en-GB"/>
              </w:rPr>
            </w:pPr>
            <w:r w:rsidRPr="00F264B0">
              <w:rPr>
                <w:rFonts w:cs="Arial"/>
                <w:color w:val="000000"/>
                <w:sz w:val="18"/>
                <w:szCs w:val="18"/>
                <w:lang w:eastAsia="en-GB"/>
              </w:rPr>
              <w:t>137</w:t>
            </w:r>
          </w:p>
        </w:tc>
        <w:tc>
          <w:tcPr>
            <w:tcW w:w="2173" w:type="dxa"/>
            <w:vMerge w:val="restart"/>
            <w:tcBorders>
              <w:top w:val="nil"/>
              <w:left w:val="single" w:sz="8" w:space="0" w:color="auto"/>
              <w:bottom w:val="single" w:sz="8" w:space="0" w:color="000000"/>
              <w:right w:val="single" w:sz="8" w:space="0" w:color="auto"/>
            </w:tcBorders>
            <w:shd w:val="pct12" w:color="auto" w:fill="auto"/>
            <w:vAlign w:val="center"/>
            <w:hideMark/>
          </w:tcPr>
          <w:p w14:paraId="76AEBD43" w14:textId="77777777" w:rsidR="00F264B0" w:rsidRPr="00F264B0" w:rsidRDefault="00F264B0" w:rsidP="00F264B0">
            <w:pPr>
              <w:keepNext/>
              <w:keepLines/>
              <w:jc w:val="center"/>
              <w:rPr>
                <w:rFonts w:cs="Arial"/>
                <w:color w:val="000000"/>
                <w:sz w:val="18"/>
                <w:szCs w:val="18"/>
                <w:lang w:eastAsia="en-GB"/>
              </w:rPr>
            </w:pPr>
            <w:r w:rsidRPr="00F264B0">
              <w:rPr>
                <w:rFonts w:cs="Arial"/>
                <w:color w:val="000000"/>
                <w:sz w:val="18"/>
                <w:szCs w:val="18"/>
                <w:lang w:eastAsia="en-GB"/>
              </w:rPr>
              <w:t>3 (80%)</w:t>
            </w:r>
          </w:p>
        </w:tc>
        <w:tc>
          <w:tcPr>
            <w:tcW w:w="1971" w:type="dxa"/>
            <w:tcBorders>
              <w:top w:val="nil"/>
              <w:left w:val="nil"/>
              <w:bottom w:val="nil"/>
              <w:right w:val="single" w:sz="8" w:space="0" w:color="auto"/>
            </w:tcBorders>
            <w:shd w:val="pct12" w:color="auto" w:fill="auto"/>
            <w:vAlign w:val="center"/>
            <w:hideMark/>
          </w:tcPr>
          <w:p w14:paraId="289FAA7A" w14:textId="77777777" w:rsidR="00F264B0" w:rsidRPr="00F264B0" w:rsidRDefault="00F264B0" w:rsidP="00F264B0">
            <w:pPr>
              <w:keepNext/>
              <w:keepLines/>
              <w:rPr>
                <w:rFonts w:cs="Arial"/>
                <w:color w:val="000000"/>
                <w:sz w:val="18"/>
                <w:szCs w:val="18"/>
                <w:lang w:eastAsia="en-GB"/>
              </w:rPr>
            </w:pPr>
            <w:r w:rsidRPr="00F264B0">
              <w:rPr>
                <w:rFonts w:cs="Arial"/>
                <w:color w:val="000000"/>
                <w:sz w:val="18"/>
                <w:szCs w:val="18"/>
                <w:lang w:eastAsia="en-GB"/>
              </w:rPr>
              <w:t>Little, S. (2014a)</w:t>
            </w:r>
          </w:p>
        </w:tc>
      </w:tr>
      <w:tr w:rsidR="00F264B0" w:rsidRPr="00F264B0" w14:paraId="0589111E" w14:textId="77777777" w:rsidTr="00EF6A7D">
        <w:trPr>
          <w:trHeight w:val="315"/>
        </w:trPr>
        <w:tc>
          <w:tcPr>
            <w:tcW w:w="2881" w:type="dxa"/>
            <w:vMerge/>
            <w:tcBorders>
              <w:top w:val="nil"/>
              <w:left w:val="single" w:sz="4" w:space="0" w:color="auto"/>
              <w:bottom w:val="single" w:sz="4" w:space="0" w:color="auto"/>
              <w:right w:val="single" w:sz="4" w:space="0" w:color="auto"/>
            </w:tcBorders>
            <w:shd w:val="pct12" w:color="auto" w:fill="auto"/>
            <w:vAlign w:val="center"/>
            <w:hideMark/>
          </w:tcPr>
          <w:p w14:paraId="2F33173E" w14:textId="77777777" w:rsidR="00F264B0" w:rsidRPr="00F264B0" w:rsidRDefault="00F264B0" w:rsidP="00F264B0">
            <w:pPr>
              <w:keepNext/>
              <w:keepLines/>
              <w:rPr>
                <w:rFonts w:cs="Arial"/>
                <w:color w:val="000000"/>
                <w:sz w:val="18"/>
                <w:szCs w:val="18"/>
                <w:lang w:eastAsia="en-GB"/>
              </w:rPr>
            </w:pPr>
          </w:p>
        </w:tc>
        <w:tc>
          <w:tcPr>
            <w:tcW w:w="846" w:type="dxa"/>
            <w:vMerge/>
            <w:tcBorders>
              <w:top w:val="nil"/>
              <w:left w:val="single" w:sz="4" w:space="0" w:color="auto"/>
              <w:bottom w:val="single" w:sz="8" w:space="0" w:color="000000"/>
              <w:right w:val="single" w:sz="8" w:space="0" w:color="auto"/>
            </w:tcBorders>
            <w:shd w:val="pct12" w:color="auto" w:fill="auto"/>
            <w:vAlign w:val="center"/>
            <w:hideMark/>
          </w:tcPr>
          <w:p w14:paraId="560F6CC7" w14:textId="77777777" w:rsidR="00F264B0" w:rsidRPr="00F264B0" w:rsidRDefault="00F264B0" w:rsidP="00F264B0">
            <w:pPr>
              <w:keepNext/>
              <w:keepLines/>
              <w:rPr>
                <w:rFonts w:cs="Arial"/>
                <w:color w:val="000000"/>
                <w:sz w:val="18"/>
                <w:szCs w:val="18"/>
                <w:lang w:eastAsia="en-GB"/>
              </w:rPr>
            </w:pPr>
          </w:p>
        </w:tc>
        <w:tc>
          <w:tcPr>
            <w:tcW w:w="1201" w:type="dxa"/>
            <w:vMerge/>
            <w:tcBorders>
              <w:top w:val="nil"/>
              <w:left w:val="single" w:sz="8" w:space="0" w:color="auto"/>
              <w:bottom w:val="single" w:sz="8" w:space="0" w:color="000000"/>
              <w:right w:val="single" w:sz="8" w:space="0" w:color="auto"/>
            </w:tcBorders>
            <w:shd w:val="pct12" w:color="auto" w:fill="auto"/>
            <w:vAlign w:val="center"/>
            <w:hideMark/>
          </w:tcPr>
          <w:p w14:paraId="28CD0488" w14:textId="77777777" w:rsidR="00F264B0" w:rsidRPr="00F264B0" w:rsidRDefault="00F264B0" w:rsidP="00F264B0">
            <w:pPr>
              <w:keepNext/>
              <w:keepLines/>
              <w:rPr>
                <w:rFonts w:cs="Arial"/>
                <w:color w:val="000000"/>
                <w:sz w:val="18"/>
                <w:szCs w:val="18"/>
                <w:lang w:eastAsia="en-GB"/>
              </w:rPr>
            </w:pPr>
          </w:p>
        </w:tc>
        <w:tc>
          <w:tcPr>
            <w:tcW w:w="2173" w:type="dxa"/>
            <w:vMerge/>
            <w:tcBorders>
              <w:top w:val="nil"/>
              <w:left w:val="single" w:sz="8" w:space="0" w:color="auto"/>
              <w:bottom w:val="single" w:sz="8" w:space="0" w:color="000000"/>
              <w:right w:val="single" w:sz="8" w:space="0" w:color="auto"/>
            </w:tcBorders>
            <w:shd w:val="pct12" w:color="auto" w:fill="auto"/>
            <w:vAlign w:val="center"/>
            <w:hideMark/>
          </w:tcPr>
          <w:p w14:paraId="5C33A102" w14:textId="77777777" w:rsidR="00F264B0" w:rsidRPr="00F264B0" w:rsidRDefault="00F264B0" w:rsidP="00F264B0">
            <w:pPr>
              <w:keepNext/>
              <w:keepLines/>
              <w:rPr>
                <w:rFonts w:cs="Arial"/>
                <w:color w:val="000000"/>
                <w:sz w:val="18"/>
                <w:szCs w:val="18"/>
                <w:lang w:eastAsia="en-GB"/>
              </w:rPr>
            </w:pPr>
          </w:p>
        </w:tc>
        <w:tc>
          <w:tcPr>
            <w:tcW w:w="1971" w:type="dxa"/>
            <w:tcBorders>
              <w:top w:val="nil"/>
              <w:left w:val="nil"/>
              <w:bottom w:val="single" w:sz="8" w:space="0" w:color="auto"/>
              <w:right w:val="single" w:sz="8" w:space="0" w:color="auto"/>
            </w:tcBorders>
            <w:shd w:val="pct12" w:color="auto" w:fill="auto"/>
            <w:vAlign w:val="center"/>
            <w:hideMark/>
          </w:tcPr>
          <w:p w14:paraId="43B4AE21" w14:textId="77777777" w:rsidR="00F264B0" w:rsidRPr="00F264B0" w:rsidRDefault="00F264B0" w:rsidP="00F264B0">
            <w:pPr>
              <w:keepNext/>
              <w:keepLines/>
              <w:jc w:val="right"/>
              <w:rPr>
                <w:rFonts w:cs="Arial"/>
                <w:color w:val="000000"/>
                <w:sz w:val="18"/>
                <w:szCs w:val="18"/>
                <w:lang w:eastAsia="en-GB"/>
              </w:rPr>
            </w:pPr>
          </w:p>
        </w:tc>
      </w:tr>
      <w:tr w:rsidR="00F264B0" w:rsidRPr="00F264B0" w14:paraId="4ADC637A" w14:textId="77777777" w:rsidTr="00EF6A7D">
        <w:trPr>
          <w:trHeight w:val="300"/>
        </w:trPr>
        <w:tc>
          <w:tcPr>
            <w:tcW w:w="2881" w:type="dxa"/>
            <w:vMerge w:val="restart"/>
            <w:tcBorders>
              <w:left w:val="single" w:sz="4" w:space="0" w:color="auto"/>
              <w:bottom w:val="single" w:sz="4" w:space="0" w:color="auto"/>
              <w:right w:val="single" w:sz="4" w:space="0" w:color="auto"/>
            </w:tcBorders>
            <w:shd w:val="pct12" w:color="auto" w:fill="auto"/>
            <w:vAlign w:val="center"/>
            <w:hideMark/>
          </w:tcPr>
          <w:p w14:paraId="7662594D" w14:textId="77777777" w:rsidR="00F264B0" w:rsidRPr="00F264B0" w:rsidRDefault="00F264B0" w:rsidP="00F264B0">
            <w:pPr>
              <w:keepNext/>
              <w:keepLines/>
              <w:rPr>
                <w:rFonts w:eastAsia="Symbol" w:cs="Arial"/>
                <w:color w:val="000000"/>
                <w:sz w:val="18"/>
                <w:szCs w:val="18"/>
                <w:lang w:eastAsia="en-GB"/>
              </w:rPr>
            </w:pPr>
            <w:r w:rsidRPr="00F264B0">
              <w:rPr>
                <w:rFonts w:eastAsia="Symbol" w:cs="Arial"/>
                <w:color w:val="000000"/>
                <w:sz w:val="18"/>
                <w:szCs w:val="18"/>
                <w:lang w:eastAsia="en-GB"/>
              </w:rPr>
              <w:t>Plastic injection moulded</w:t>
            </w:r>
          </w:p>
          <w:p w14:paraId="3608E206" w14:textId="77777777" w:rsidR="00F264B0" w:rsidRPr="00F264B0" w:rsidRDefault="00F264B0" w:rsidP="00F264B0">
            <w:pPr>
              <w:keepNext/>
              <w:keepLines/>
              <w:rPr>
                <w:rFonts w:cs="Arial"/>
                <w:color w:val="000000"/>
                <w:sz w:val="18"/>
                <w:szCs w:val="18"/>
                <w:lang w:eastAsia="en-GB"/>
              </w:rPr>
            </w:pPr>
            <w:r w:rsidRPr="00F264B0">
              <w:rPr>
                <w:rFonts w:eastAsia="Symbol" w:cs="Arial"/>
                <w:color w:val="000000"/>
                <w:sz w:val="18"/>
                <w:szCs w:val="18"/>
                <w:lang w:eastAsia="en-GB"/>
              </w:rPr>
              <w:t>(0.04%)</w:t>
            </w:r>
          </w:p>
        </w:tc>
        <w:tc>
          <w:tcPr>
            <w:tcW w:w="846" w:type="dxa"/>
            <w:vMerge w:val="restart"/>
            <w:tcBorders>
              <w:top w:val="nil"/>
              <w:left w:val="single" w:sz="4" w:space="0" w:color="auto"/>
              <w:bottom w:val="single" w:sz="8" w:space="0" w:color="000000"/>
              <w:right w:val="single" w:sz="8" w:space="0" w:color="auto"/>
            </w:tcBorders>
            <w:shd w:val="pct12" w:color="auto" w:fill="auto"/>
            <w:vAlign w:val="center"/>
            <w:hideMark/>
          </w:tcPr>
          <w:p w14:paraId="0DD3CE2F" w14:textId="77777777" w:rsidR="00F264B0" w:rsidRPr="00F264B0" w:rsidRDefault="00F264B0" w:rsidP="00F264B0">
            <w:pPr>
              <w:keepNext/>
              <w:keepLines/>
              <w:jc w:val="center"/>
              <w:rPr>
                <w:rFonts w:cs="Arial"/>
                <w:color w:val="000000"/>
                <w:sz w:val="18"/>
                <w:szCs w:val="18"/>
                <w:lang w:eastAsia="en-GB"/>
              </w:rPr>
            </w:pPr>
            <w:r w:rsidRPr="00F264B0">
              <w:rPr>
                <w:rFonts w:cs="Arial"/>
                <w:color w:val="000000"/>
                <w:sz w:val="18"/>
                <w:szCs w:val="18"/>
                <w:lang w:eastAsia="en-GB"/>
              </w:rPr>
              <w:t> </w:t>
            </w:r>
          </w:p>
        </w:tc>
        <w:tc>
          <w:tcPr>
            <w:tcW w:w="1201" w:type="dxa"/>
            <w:vMerge w:val="restart"/>
            <w:tcBorders>
              <w:top w:val="nil"/>
              <w:left w:val="single" w:sz="8" w:space="0" w:color="auto"/>
              <w:bottom w:val="single" w:sz="8" w:space="0" w:color="000000"/>
              <w:right w:val="single" w:sz="8" w:space="0" w:color="auto"/>
            </w:tcBorders>
            <w:shd w:val="pct12" w:color="auto" w:fill="auto"/>
            <w:vAlign w:val="center"/>
            <w:hideMark/>
          </w:tcPr>
          <w:p w14:paraId="119997ED" w14:textId="77777777" w:rsidR="00F264B0" w:rsidRPr="00F264B0" w:rsidRDefault="00F264B0" w:rsidP="00F264B0">
            <w:pPr>
              <w:keepNext/>
              <w:keepLines/>
              <w:jc w:val="center"/>
              <w:rPr>
                <w:rFonts w:cs="Arial"/>
                <w:color w:val="000000"/>
                <w:sz w:val="18"/>
                <w:szCs w:val="18"/>
                <w:lang w:eastAsia="en-GB"/>
              </w:rPr>
            </w:pPr>
            <w:r w:rsidRPr="00F264B0">
              <w:rPr>
                <w:rFonts w:cs="Arial"/>
                <w:color w:val="000000"/>
                <w:sz w:val="18"/>
                <w:szCs w:val="18"/>
                <w:lang w:eastAsia="en-GB"/>
              </w:rPr>
              <w:t>1044</w:t>
            </w:r>
          </w:p>
        </w:tc>
        <w:tc>
          <w:tcPr>
            <w:tcW w:w="2173" w:type="dxa"/>
            <w:vMerge w:val="restart"/>
            <w:tcBorders>
              <w:top w:val="nil"/>
              <w:left w:val="single" w:sz="8" w:space="0" w:color="auto"/>
              <w:bottom w:val="single" w:sz="8" w:space="0" w:color="000000"/>
              <w:right w:val="single" w:sz="8" w:space="0" w:color="auto"/>
            </w:tcBorders>
            <w:shd w:val="pct12" w:color="auto" w:fill="auto"/>
            <w:vAlign w:val="center"/>
            <w:hideMark/>
          </w:tcPr>
          <w:p w14:paraId="4C661113" w14:textId="77777777" w:rsidR="00F264B0" w:rsidRPr="00F264B0" w:rsidRDefault="00F264B0" w:rsidP="00F264B0">
            <w:pPr>
              <w:keepNext/>
              <w:keepLines/>
              <w:jc w:val="center"/>
              <w:rPr>
                <w:rFonts w:cs="Arial"/>
                <w:color w:val="000000"/>
                <w:sz w:val="18"/>
                <w:szCs w:val="18"/>
                <w:lang w:eastAsia="en-GB"/>
              </w:rPr>
            </w:pPr>
            <w:r w:rsidRPr="00F264B0">
              <w:rPr>
                <w:rFonts w:cs="Arial"/>
                <w:color w:val="000000"/>
                <w:sz w:val="18"/>
                <w:szCs w:val="18"/>
                <w:lang w:eastAsia="en-GB"/>
              </w:rPr>
              <w:t>4 (20%)</w:t>
            </w:r>
          </w:p>
        </w:tc>
        <w:tc>
          <w:tcPr>
            <w:tcW w:w="1971" w:type="dxa"/>
            <w:tcBorders>
              <w:top w:val="nil"/>
              <w:left w:val="nil"/>
              <w:bottom w:val="nil"/>
              <w:right w:val="single" w:sz="8" w:space="0" w:color="auto"/>
            </w:tcBorders>
            <w:shd w:val="pct12" w:color="auto" w:fill="auto"/>
            <w:vAlign w:val="center"/>
            <w:hideMark/>
          </w:tcPr>
          <w:p w14:paraId="02A9E5AA" w14:textId="77777777" w:rsidR="00F264B0" w:rsidRPr="00F264B0" w:rsidRDefault="00F264B0" w:rsidP="00F264B0">
            <w:pPr>
              <w:keepNext/>
              <w:keepLines/>
              <w:rPr>
                <w:rFonts w:cs="Arial"/>
                <w:color w:val="000000"/>
                <w:sz w:val="18"/>
                <w:szCs w:val="18"/>
                <w:lang w:eastAsia="en-GB"/>
              </w:rPr>
            </w:pPr>
            <w:r w:rsidRPr="00F264B0">
              <w:rPr>
                <w:rFonts w:cs="Arial"/>
                <w:color w:val="000000"/>
                <w:sz w:val="18"/>
                <w:szCs w:val="18"/>
                <w:lang w:eastAsia="en-GB"/>
              </w:rPr>
              <w:t>Lin, R. (2013)</w:t>
            </w:r>
          </w:p>
        </w:tc>
      </w:tr>
      <w:tr w:rsidR="00F264B0" w:rsidRPr="00F264B0" w14:paraId="55EA3717" w14:textId="77777777" w:rsidTr="00EF6A7D">
        <w:trPr>
          <w:trHeight w:val="315"/>
        </w:trPr>
        <w:tc>
          <w:tcPr>
            <w:tcW w:w="2881" w:type="dxa"/>
            <w:vMerge/>
            <w:tcBorders>
              <w:top w:val="nil"/>
              <w:left w:val="single" w:sz="4" w:space="0" w:color="auto"/>
              <w:bottom w:val="single" w:sz="4" w:space="0" w:color="auto"/>
              <w:right w:val="single" w:sz="4" w:space="0" w:color="auto"/>
            </w:tcBorders>
            <w:shd w:val="pct12" w:color="auto" w:fill="auto"/>
            <w:vAlign w:val="center"/>
            <w:hideMark/>
          </w:tcPr>
          <w:p w14:paraId="03E12C6C" w14:textId="77777777" w:rsidR="00F264B0" w:rsidRPr="00F264B0" w:rsidRDefault="00F264B0" w:rsidP="00F264B0">
            <w:pPr>
              <w:keepNext/>
              <w:keepLines/>
              <w:rPr>
                <w:rFonts w:cs="Arial"/>
                <w:color w:val="000000"/>
                <w:sz w:val="18"/>
                <w:szCs w:val="18"/>
                <w:lang w:eastAsia="en-GB"/>
              </w:rPr>
            </w:pPr>
          </w:p>
        </w:tc>
        <w:tc>
          <w:tcPr>
            <w:tcW w:w="846" w:type="dxa"/>
            <w:vMerge/>
            <w:tcBorders>
              <w:top w:val="nil"/>
              <w:left w:val="single" w:sz="4" w:space="0" w:color="auto"/>
              <w:bottom w:val="single" w:sz="8" w:space="0" w:color="000000"/>
              <w:right w:val="single" w:sz="8" w:space="0" w:color="auto"/>
            </w:tcBorders>
            <w:shd w:val="pct12" w:color="auto" w:fill="auto"/>
            <w:vAlign w:val="center"/>
            <w:hideMark/>
          </w:tcPr>
          <w:p w14:paraId="7071E154" w14:textId="77777777" w:rsidR="00F264B0" w:rsidRPr="00F264B0" w:rsidRDefault="00F264B0" w:rsidP="00F264B0">
            <w:pPr>
              <w:keepNext/>
              <w:keepLines/>
              <w:rPr>
                <w:rFonts w:cs="Arial"/>
                <w:color w:val="000000"/>
                <w:sz w:val="18"/>
                <w:szCs w:val="18"/>
                <w:lang w:eastAsia="en-GB"/>
              </w:rPr>
            </w:pPr>
          </w:p>
        </w:tc>
        <w:tc>
          <w:tcPr>
            <w:tcW w:w="1201" w:type="dxa"/>
            <w:vMerge/>
            <w:tcBorders>
              <w:top w:val="nil"/>
              <w:left w:val="single" w:sz="8" w:space="0" w:color="auto"/>
              <w:bottom w:val="single" w:sz="8" w:space="0" w:color="000000"/>
              <w:right w:val="single" w:sz="8" w:space="0" w:color="auto"/>
            </w:tcBorders>
            <w:shd w:val="pct12" w:color="auto" w:fill="auto"/>
            <w:vAlign w:val="center"/>
            <w:hideMark/>
          </w:tcPr>
          <w:p w14:paraId="5BDE5943" w14:textId="77777777" w:rsidR="00F264B0" w:rsidRPr="00F264B0" w:rsidRDefault="00F264B0" w:rsidP="00F264B0">
            <w:pPr>
              <w:keepNext/>
              <w:keepLines/>
              <w:rPr>
                <w:rFonts w:cs="Arial"/>
                <w:color w:val="000000"/>
                <w:sz w:val="18"/>
                <w:szCs w:val="18"/>
                <w:lang w:eastAsia="en-GB"/>
              </w:rPr>
            </w:pPr>
          </w:p>
        </w:tc>
        <w:tc>
          <w:tcPr>
            <w:tcW w:w="2173" w:type="dxa"/>
            <w:vMerge/>
            <w:tcBorders>
              <w:top w:val="nil"/>
              <w:left w:val="single" w:sz="8" w:space="0" w:color="auto"/>
              <w:bottom w:val="single" w:sz="8" w:space="0" w:color="000000"/>
              <w:right w:val="single" w:sz="8" w:space="0" w:color="auto"/>
            </w:tcBorders>
            <w:shd w:val="pct12" w:color="auto" w:fill="auto"/>
            <w:vAlign w:val="center"/>
            <w:hideMark/>
          </w:tcPr>
          <w:p w14:paraId="7C134204" w14:textId="77777777" w:rsidR="00F264B0" w:rsidRPr="00F264B0" w:rsidRDefault="00F264B0" w:rsidP="00F264B0">
            <w:pPr>
              <w:keepNext/>
              <w:keepLines/>
              <w:rPr>
                <w:rFonts w:cs="Arial"/>
                <w:color w:val="000000"/>
                <w:sz w:val="18"/>
                <w:szCs w:val="18"/>
                <w:lang w:eastAsia="en-GB"/>
              </w:rPr>
            </w:pPr>
          </w:p>
        </w:tc>
        <w:tc>
          <w:tcPr>
            <w:tcW w:w="1971" w:type="dxa"/>
            <w:tcBorders>
              <w:top w:val="nil"/>
              <w:left w:val="nil"/>
              <w:bottom w:val="single" w:sz="8" w:space="0" w:color="auto"/>
              <w:right w:val="single" w:sz="8" w:space="0" w:color="auto"/>
            </w:tcBorders>
            <w:shd w:val="pct12" w:color="auto" w:fill="auto"/>
            <w:vAlign w:val="center"/>
            <w:hideMark/>
          </w:tcPr>
          <w:p w14:paraId="09D89C20" w14:textId="77777777" w:rsidR="00F264B0" w:rsidRPr="00F264B0" w:rsidRDefault="00F264B0" w:rsidP="00F264B0">
            <w:pPr>
              <w:keepNext/>
              <w:keepLines/>
              <w:jc w:val="right"/>
              <w:rPr>
                <w:rFonts w:cs="Arial"/>
                <w:color w:val="000000"/>
                <w:sz w:val="18"/>
                <w:szCs w:val="18"/>
                <w:lang w:eastAsia="en-GB"/>
              </w:rPr>
            </w:pPr>
          </w:p>
        </w:tc>
      </w:tr>
      <w:tr w:rsidR="00F264B0" w:rsidRPr="00F264B0" w14:paraId="4A3EDBBD" w14:textId="77777777" w:rsidTr="00EF6A7D">
        <w:trPr>
          <w:trHeight w:val="300"/>
        </w:trPr>
        <w:tc>
          <w:tcPr>
            <w:tcW w:w="2881" w:type="dxa"/>
            <w:vMerge w:val="restart"/>
            <w:tcBorders>
              <w:top w:val="nil"/>
              <w:left w:val="single" w:sz="4" w:space="0" w:color="auto"/>
              <w:bottom w:val="single" w:sz="4" w:space="0" w:color="auto"/>
              <w:right w:val="single" w:sz="4" w:space="0" w:color="auto"/>
            </w:tcBorders>
            <w:shd w:val="pct12" w:color="auto" w:fill="auto"/>
            <w:vAlign w:val="center"/>
            <w:hideMark/>
          </w:tcPr>
          <w:p w14:paraId="1550416E" w14:textId="77777777" w:rsidR="00F264B0" w:rsidRPr="00F264B0" w:rsidRDefault="00F264B0" w:rsidP="00F264B0">
            <w:pPr>
              <w:keepNext/>
              <w:keepLines/>
              <w:rPr>
                <w:rFonts w:eastAsia="Symbol" w:cs="Arial"/>
                <w:color w:val="000000"/>
                <w:sz w:val="18"/>
                <w:szCs w:val="18"/>
                <w:lang w:eastAsia="en-GB"/>
              </w:rPr>
            </w:pPr>
            <w:r w:rsidRPr="00F264B0">
              <w:rPr>
                <w:rFonts w:eastAsia="Symbol" w:cs="Arial"/>
                <w:color w:val="000000"/>
                <w:sz w:val="18"/>
                <w:szCs w:val="18"/>
                <w:lang w:eastAsia="en-GB"/>
              </w:rPr>
              <w:t>Plastic bag and film</w:t>
            </w:r>
          </w:p>
          <w:p w14:paraId="42EAC4CB" w14:textId="77777777" w:rsidR="00F264B0" w:rsidRPr="00F264B0" w:rsidRDefault="00F264B0" w:rsidP="00F264B0">
            <w:pPr>
              <w:keepNext/>
              <w:keepLines/>
              <w:rPr>
                <w:rFonts w:cs="Arial"/>
                <w:color w:val="000000"/>
                <w:sz w:val="18"/>
                <w:szCs w:val="18"/>
                <w:lang w:eastAsia="en-GB"/>
              </w:rPr>
            </w:pPr>
            <w:r w:rsidRPr="00F264B0">
              <w:rPr>
                <w:rFonts w:eastAsia="Symbol" w:cs="Arial"/>
                <w:color w:val="000000"/>
                <w:sz w:val="18"/>
                <w:szCs w:val="18"/>
                <w:lang w:eastAsia="en-GB"/>
              </w:rPr>
              <w:t xml:space="preserve">(0.05%) </w:t>
            </w:r>
          </w:p>
        </w:tc>
        <w:tc>
          <w:tcPr>
            <w:tcW w:w="846" w:type="dxa"/>
            <w:vMerge w:val="restart"/>
            <w:tcBorders>
              <w:top w:val="nil"/>
              <w:left w:val="single" w:sz="4" w:space="0" w:color="auto"/>
              <w:bottom w:val="single" w:sz="8" w:space="0" w:color="000000"/>
              <w:right w:val="single" w:sz="8" w:space="0" w:color="auto"/>
            </w:tcBorders>
            <w:shd w:val="pct12" w:color="auto" w:fill="auto"/>
            <w:vAlign w:val="center"/>
            <w:hideMark/>
          </w:tcPr>
          <w:p w14:paraId="438C838D" w14:textId="77777777" w:rsidR="00F264B0" w:rsidRPr="00F264B0" w:rsidRDefault="00F264B0" w:rsidP="00F264B0">
            <w:pPr>
              <w:keepNext/>
              <w:keepLines/>
              <w:jc w:val="center"/>
              <w:rPr>
                <w:rFonts w:cs="Arial"/>
                <w:color w:val="000000"/>
                <w:sz w:val="18"/>
                <w:szCs w:val="18"/>
                <w:lang w:eastAsia="en-GB"/>
              </w:rPr>
            </w:pPr>
          </w:p>
        </w:tc>
        <w:tc>
          <w:tcPr>
            <w:tcW w:w="1201" w:type="dxa"/>
            <w:vMerge w:val="restart"/>
            <w:tcBorders>
              <w:top w:val="nil"/>
              <w:left w:val="single" w:sz="8" w:space="0" w:color="auto"/>
              <w:bottom w:val="single" w:sz="8" w:space="0" w:color="000000"/>
              <w:right w:val="single" w:sz="8" w:space="0" w:color="auto"/>
            </w:tcBorders>
            <w:shd w:val="pct12" w:color="auto" w:fill="auto"/>
            <w:vAlign w:val="center"/>
            <w:hideMark/>
          </w:tcPr>
          <w:p w14:paraId="009F8FF8" w14:textId="77777777" w:rsidR="00F264B0" w:rsidRPr="00F264B0" w:rsidRDefault="00F264B0" w:rsidP="00F264B0">
            <w:pPr>
              <w:keepNext/>
              <w:keepLines/>
              <w:jc w:val="center"/>
              <w:rPr>
                <w:rFonts w:cs="Arial"/>
                <w:color w:val="000000"/>
                <w:sz w:val="18"/>
                <w:szCs w:val="18"/>
                <w:lang w:eastAsia="en-GB"/>
              </w:rPr>
            </w:pPr>
            <w:r w:rsidRPr="00F264B0">
              <w:rPr>
                <w:rFonts w:cs="Arial"/>
                <w:color w:val="000000"/>
                <w:sz w:val="18"/>
                <w:szCs w:val="18"/>
                <w:lang w:eastAsia="en-GB"/>
              </w:rPr>
              <w:t>281</w:t>
            </w:r>
          </w:p>
        </w:tc>
        <w:tc>
          <w:tcPr>
            <w:tcW w:w="2173" w:type="dxa"/>
            <w:vMerge w:val="restart"/>
            <w:tcBorders>
              <w:top w:val="nil"/>
              <w:left w:val="single" w:sz="8" w:space="0" w:color="auto"/>
              <w:bottom w:val="single" w:sz="8" w:space="0" w:color="000000"/>
              <w:right w:val="single" w:sz="8" w:space="0" w:color="auto"/>
            </w:tcBorders>
            <w:shd w:val="pct12" w:color="auto" w:fill="auto"/>
            <w:vAlign w:val="center"/>
            <w:hideMark/>
          </w:tcPr>
          <w:p w14:paraId="0462C51C" w14:textId="77777777" w:rsidR="00F264B0" w:rsidRPr="00F264B0" w:rsidRDefault="00F264B0" w:rsidP="00F264B0">
            <w:pPr>
              <w:keepNext/>
              <w:keepLines/>
              <w:jc w:val="center"/>
              <w:rPr>
                <w:rFonts w:cs="Arial"/>
                <w:color w:val="000000"/>
                <w:sz w:val="18"/>
                <w:szCs w:val="18"/>
                <w:lang w:eastAsia="en-GB"/>
              </w:rPr>
            </w:pPr>
            <w:r w:rsidRPr="00F264B0">
              <w:rPr>
                <w:rFonts w:cs="Arial"/>
                <w:color w:val="000000"/>
                <w:sz w:val="18"/>
                <w:szCs w:val="18"/>
                <w:lang w:eastAsia="en-GB"/>
              </w:rPr>
              <w:t>2 (33%)</w:t>
            </w:r>
          </w:p>
        </w:tc>
        <w:tc>
          <w:tcPr>
            <w:tcW w:w="1971" w:type="dxa"/>
            <w:tcBorders>
              <w:top w:val="nil"/>
              <w:left w:val="nil"/>
              <w:right w:val="single" w:sz="8" w:space="0" w:color="auto"/>
            </w:tcBorders>
            <w:shd w:val="pct12" w:color="auto" w:fill="auto"/>
            <w:vAlign w:val="center"/>
            <w:hideMark/>
          </w:tcPr>
          <w:p w14:paraId="5C30767F" w14:textId="77777777" w:rsidR="00F264B0" w:rsidRPr="00F264B0" w:rsidRDefault="00F264B0" w:rsidP="00F264B0">
            <w:pPr>
              <w:keepNext/>
              <w:keepLines/>
              <w:rPr>
                <w:rFonts w:cs="Arial"/>
                <w:color w:val="000000"/>
                <w:sz w:val="18"/>
                <w:szCs w:val="18"/>
                <w:lang w:eastAsia="en-GB"/>
              </w:rPr>
            </w:pPr>
            <w:r w:rsidRPr="00F264B0">
              <w:rPr>
                <w:rFonts w:cs="Arial"/>
                <w:color w:val="000000"/>
                <w:sz w:val="20"/>
                <w:szCs w:val="20"/>
                <w:lang w:eastAsia="en-GB"/>
              </w:rPr>
              <w:t>Little, S. (2014b)</w:t>
            </w:r>
          </w:p>
        </w:tc>
      </w:tr>
      <w:tr w:rsidR="00F264B0" w:rsidRPr="00F264B0" w14:paraId="228C2257" w14:textId="77777777" w:rsidTr="00EF6A7D">
        <w:trPr>
          <w:trHeight w:val="300"/>
        </w:trPr>
        <w:tc>
          <w:tcPr>
            <w:tcW w:w="2881" w:type="dxa"/>
            <w:vMerge/>
            <w:tcBorders>
              <w:top w:val="nil"/>
              <w:left w:val="single" w:sz="4" w:space="0" w:color="auto"/>
              <w:bottom w:val="single" w:sz="4" w:space="0" w:color="auto"/>
              <w:right w:val="single" w:sz="4" w:space="0" w:color="auto"/>
            </w:tcBorders>
            <w:shd w:val="pct12" w:color="auto" w:fill="auto"/>
            <w:vAlign w:val="center"/>
            <w:hideMark/>
          </w:tcPr>
          <w:p w14:paraId="6880AB9D" w14:textId="77777777" w:rsidR="00F264B0" w:rsidRPr="00F264B0" w:rsidRDefault="00F264B0" w:rsidP="00F264B0">
            <w:pPr>
              <w:rPr>
                <w:rFonts w:cs="Arial"/>
                <w:color w:val="000000"/>
                <w:sz w:val="18"/>
                <w:szCs w:val="18"/>
                <w:lang w:eastAsia="en-GB"/>
              </w:rPr>
            </w:pPr>
          </w:p>
        </w:tc>
        <w:tc>
          <w:tcPr>
            <w:tcW w:w="846" w:type="dxa"/>
            <w:vMerge/>
            <w:tcBorders>
              <w:top w:val="nil"/>
              <w:left w:val="single" w:sz="4" w:space="0" w:color="auto"/>
              <w:bottom w:val="single" w:sz="8" w:space="0" w:color="000000"/>
              <w:right w:val="single" w:sz="8" w:space="0" w:color="auto"/>
            </w:tcBorders>
            <w:shd w:val="pct12" w:color="auto" w:fill="auto"/>
            <w:vAlign w:val="center"/>
            <w:hideMark/>
          </w:tcPr>
          <w:p w14:paraId="2B448A97" w14:textId="77777777" w:rsidR="00F264B0" w:rsidRPr="00F264B0" w:rsidRDefault="00F264B0" w:rsidP="00F264B0">
            <w:pPr>
              <w:rPr>
                <w:rFonts w:cs="Arial"/>
                <w:color w:val="000000"/>
                <w:sz w:val="18"/>
                <w:szCs w:val="18"/>
                <w:lang w:eastAsia="en-GB"/>
              </w:rPr>
            </w:pPr>
          </w:p>
        </w:tc>
        <w:tc>
          <w:tcPr>
            <w:tcW w:w="1201" w:type="dxa"/>
            <w:vMerge/>
            <w:tcBorders>
              <w:top w:val="nil"/>
              <w:left w:val="single" w:sz="8" w:space="0" w:color="auto"/>
              <w:bottom w:val="single" w:sz="8" w:space="0" w:color="000000"/>
              <w:right w:val="single" w:sz="8" w:space="0" w:color="auto"/>
            </w:tcBorders>
            <w:shd w:val="pct12" w:color="auto" w:fill="auto"/>
            <w:vAlign w:val="center"/>
            <w:hideMark/>
          </w:tcPr>
          <w:p w14:paraId="7F85938D" w14:textId="77777777" w:rsidR="00F264B0" w:rsidRPr="00F264B0" w:rsidRDefault="00F264B0" w:rsidP="00F264B0">
            <w:pPr>
              <w:rPr>
                <w:rFonts w:cs="Arial"/>
                <w:color w:val="000000"/>
                <w:sz w:val="18"/>
                <w:szCs w:val="18"/>
                <w:lang w:eastAsia="en-GB"/>
              </w:rPr>
            </w:pPr>
          </w:p>
        </w:tc>
        <w:tc>
          <w:tcPr>
            <w:tcW w:w="2173" w:type="dxa"/>
            <w:vMerge/>
            <w:tcBorders>
              <w:top w:val="nil"/>
              <w:left w:val="single" w:sz="8" w:space="0" w:color="auto"/>
              <w:bottom w:val="single" w:sz="8" w:space="0" w:color="000000"/>
              <w:right w:val="single" w:sz="8" w:space="0" w:color="auto"/>
            </w:tcBorders>
            <w:shd w:val="pct12" w:color="auto" w:fill="auto"/>
            <w:vAlign w:val="center"/>
            <w:hideMark/>
          </w:tcPr>
          <w:p w14:paraId="427A7A1D" w14:textId="77777777" w:rsidR="00F264B0" w:rsidRPr="00F264B0" w:rsidRDefault="00F264B0" w:rsidP="00F264B0">
            <w:pPr>
              <w:rPr>
                <w:rFonts w:cs="Arial"/>
                <w:color w:val="000000"/>
                <w:sz w:val="18"/>
                <w:szCs w:val="18"/>
                <w:lang w:eastAsia="en-GB"/>
              </w:rPr>
            </w:pPr>
          </w:p>
        </w:tc>
        <w:tc>
          <w:tcPr>
            <w:tcW w:w="1971" w:type="dxa"/>
            <w:tcBorders>
              <w:top w:val="nil"/>
              <w:left w:val="nil"/>
              <w:bottom w:val="single" w:sz="4" w:space="0" w:color="auto"/>
              <w:right w:val="single" w:sz="8" w:space="0" w:color="auto"/>
            </w:tcBorders>
            <w:shd w:val="pct12" w:color="auto" w:fill="auto"/>
            <w:vAlign w:val="center"/>
            <w:hideMark/>
          </w:tcPr>
          <w:p w14:paraId="6FAB87F8" w14:textId="77777777" w:rsidR="00F264B0" w:rsidRPr="00F264B0" w:rsidRDefault="00F264B0" w:rsidP="00F264B0">
            <w:pPr>
              <w:jc w:val="right"/>
              <w:rPr>
                <w:rFonts w:cs="Arial"/>
                <w:color w:val="000000"/>
                <w:sz w:val="18"/>
                <w:szCs w:val="18"/>
                <w:lang w:eastAsia="en-GB"/>
              </w:rPr>
            </w:pPr>
          </w:p>
        </w:tc>
      </w:tr>
      <w:tr w:rsidR="00F264B0" w:rsidRPr="00F264B0" w14:paraId="17651B19" w14:textId="77777777" w:rsidTr="00EF6A7D">
        <w:trPr>
          <w:trHeight w:val="315"/>
        </w:trPr>
        <w:tc>
          <w:tcPr>
            <w:tcW w:w="2881"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750E36FF" w14:textId="77777777" w:rsidR="00F264B0" w:rsidRPr="00F264B0" w:rsidRDefault="00F264B0" w:rsidP="00F264B0">
            <w:pPr>
              <w:rPr>
                <w:rFonts w:cs="Arial"/>
                <w:b/>
                <w:color w:val="0000FF"/>
                <w:sz w:val="18"/>
                <w:szCs w:val="18"/>
                <w:u w:val="single"/>
                <w:lang w:eastAsia="en-GB"/>
              </w:rPr>
            </w:pPr>
          </w:p>
          <w:p w14:paraId="3D60DB35" w14:textId="77777777" w:rsidR="00F264B0" w:rsidRPr="00F264B0" w:rsidRDefault="00F264B0" w:rsidP="00F264B0">
            <w:pPr>
              <w:rPr>
                <w:rFonts w:cs="Arial"/>
                <w:color w:val="0000FF"/>
                <w:sz w:val="18"/>
                <w:szCs w:val="18"/>
                <w:lang w:eastAsia="en-GB"/>
              </w:rPr>
            </w:pPr>
            <w:r w:rsidRPr="00F264B0">
              <w:rPr>
                <w:rFonts w:cs="Arial"/>
                <w:b/>
                <w:sz w:val="18"/>
                <w:szCs w:val="18"/>
                <w:lang w:eastAsia="en-GB"/>
              </w:rPr>
              <w:t>Metal</w:t>
            </w:r>
          </w:p>
        </w:tc>
        <w:tc>
          <w:tcPr>
            <w:tcW w:w="846" w:type="dxa"/>
            <w:tcBorders>
              <w:top w:val="nil"/>
              <w:left w:val="nil"/>
              <w:bottom w:val="single" w:sz="8" w:space="0" w:color="auto"/>
              <w:right w:val="single" w:sz="8" w:space="0" w:color="auto"/>
            </w:tcBorders>
            <w:shd w:val="clear" w:color="auto" w:fill="auto"/>
            <w:vAlign w:val="center"/>
            <w:hideMark/>
          </w:tcPr>
          <w:p w14:paraId="47C662C9" w14:textId="77777777" w:rsidR="00F264B0" w:rsidRPr="00F264B0" w:rsidRDefault="00F264B0" w:rsidP="00F264B0">
            <w:pPr>
              <w:jc w:val="center"/>
              <w:rPr>
                <w:rFonts w:cs="Arial"/>
                <w:color w:val="000000"/>
                <w:sz w:val="18"/>
                <w:szCs w:val="18"/>
                <w:lang w:eastAsia="en-GB"/>
              </w:rPr>
            </w:pPr>
            <w:r w:rsidRPr="00F264B0">
              <w:rPr>
                <w:rFonts w:cs="Arial"/>
                <w:color w:val="000000"/>
                <w:sz w:val="18"/>
                <w:szCs w:val="18"/>
                <w:lang w:eastAsia="en-GB"/>
              </w:rPr>
              <w:t>20</w:t>
            </w:r>
          </w:p>
        </w:tc>
        <w:tc>
          <w:tcPr>
            <w:tcW w:w="1201" w:type="dxa"/>
            <w:tcBorders>
              <w:top w:val="nil"/>
              <w:left w:val="nil"/>
              <w:bottom w:val="single" w:sz="8" w:space="0" w:color="auto"/>
              <w:right w:val="single" w:sz="8" w:space="0" w:color="auto"/>
            </w:tcBorders>
            <w:shd w:val="clear" w:color="auto" w:fill="auto"/>
            <w:vAlign w:val="center"/>
            <w:hideMark/>
          </w:tcPr>
          <w:p w14:paraId="20C88D64" w14:textId="77777777" w:rsidR="00F264B0" w:rsidRPr="00F264B0" w:rsidRDefault="00F264B0" w:rsidP="00F264B0">
            <w:pPr>
              <w:jc w:val="center"/>
              <w:rPr>
                <w:rFonts w:cs="Arial"/>
                <w:color w:val="000000"/>
                <w:sz w:val="18"/>
                <w:szCs w:val="18"/>
                <w:lang w:eastAsia="en-GB"/>
              </w:rPr>
            </w:pPr>
            <w:r w:rsidRPr="00F264B0">
              <w:rPr>
                <w:rFonts w:cs="Arial"/>
                <w:color w:val="000000"/>
                <w:sz w:val="18"/>
                <w:szCs w:val="18"/>
                <w:lang w:eastAsia="en-GB"/>
              </w:rPr>
              <w:t> </w:t>
            </w:r>
          </w:p>
        </w:tc>
        <w:tc>
          <w:tcPr>
            <w:tcW w:w="2173" w:type="dxa"/>
            <w:tcBorders>
              <w:top w:val="nil"/>
              <w:left w:val="nil"/>
              <w:bottom w:val="single" w:sz="8" w:space="0" w:color="auto"/>
              <w:right w:val="single" w:sz="8" w:space="0" w:color="auto"/>
            </w:tcBorders>
            <w:shd w:val="clear" w:color="auto" w:fill="auto"/>
            <w:vAlign w:val="center"/>
            <w:hideMark/>
          </w:tcPr>
          <w:p w14:paraId="48E4FD09" w14:textId="77777777" w:rsidR="00F264B0" w:rsidRPr="00F264B0" w:rsidRDefault="00F264B0" w:rsidP="00F264B0">
            <w:pPr>
              <w:jc w:val="center"/>
              <w:rPr>
                <w:rFonts w:cs="Arial"/>
                <w:color w:val="000000"/>
                <w:sz w:val="18"/>
                <w:szCs w:val="18"/>
                <w:lang w:eastAsia="en-GB"/>
              </w:rPr>
            </w:pPr>
            <w:r w:rsidRPr="00F264B0">
              <w:rPr>
                <w:rFonts w:cs="Arial"/>
                <w:color w:val="000000"/>
                <w:sz w:val="18"/>
                <w:szCs w:val="18"/>
                <w:lang w:eastAsia="en-GB"/>
              </w:rPr>
              <w:t> </w:t>
            </w:r>
          </w:p>
        </w:tc>
        <w:tc>
          <w:tcPr>
            <w:tcW w:w="1971" w:type="dxa"/>
            <w:tcBorders>
              <w:top w:val="single" w:sz="4" w:space="0" w:color="auto"/>
              <w:left w:val="nil"/>
              <w:bottom w:val="single" w:sz="8" w:space="0" w:color="auto"/>
              <w:right w:val="single" w:sz="8" w:space="0" w:color="auto"/>
            </w:tcBorders>
            <w:shd w:val="clear" w:color="auto" w:fill="auto"/>
            <w:vAlign w:val="center"/>
            <w:hideMark/>
          </w:tcPr>
          <w:p w14:paraId="13CC1598" w14:textId="77777777" w:rsidR="00F264B0" w:rsidRPr="00F264B0" w:rsidRDefault="00F264B0" w:rsidP="00F264B0">
            <w:pPr>
              <w:jc w:val="center"/>
              <w:rPr>
                <w:rFonts w:cs="Arial"/>
                <w:color w:val="000000"/>
                <w:sz w:val="18"/>
                <w:szCs w:val="18"/>
                <w:lang w:eastAsia="en-GB"/>
              </w:rPr>
            </w:pPr>
            <w:r w:rsidRPr="00F264B0">
              <w:rPr>
                <w:rFonts w:cs="Arial"/>
                <w:color w:val="000000"/>
                <w:sz w:val="18"/>
                <w:szCs w:val="18"/>
                <w:lang w:eastAsia="en-GB"/>
              </w:rPr>
              <w:t> </w:t>
            </w:r>
          </w:p>
        </w:tc>
      </w:tr>
      <w:tr w:rsidR="00F264B0" w:rsidRPr="00F264B0" w14:paraId="7B49F99F" w14:textId="77777777" w:rsidTr="00EF6A7D">
        <w:trPr>
          <w:trHeight w:val="300"/>
        </w:trPr>
        <w:tc>
          <w:tcPr>
            <w:tcW w:w="2881" w:type="dxa"/>
            <w:vMerge w:val="restart"/>
            <w:tcBorders>
              <w:top w:val="nil"/>
              <w:left w:val="single" w:sz="8" w:space="0" w:color="auto"/>
              <w:bottom w:val="single" w:sz="8" w:space="0" w:color="000000"/>
              <w:right w:val="single" w:sz="8" w:space="0" w:color="auto"/>
            </w:tcBorders>
            <w:shd w:val="clear" w:color="auto" w:fill="auto"/>
            <w:vAlign w:val="center"/>
            <w:hideMark/>
          </w:tcPr>
          <w:p w14:paraId="1CCD4E5F" w14:textId="77777777" w:rsidR="00F264B0" w:rsidRPr="00F264B0" w:rsidRDefault="00F264B0" w:rsidP="00F264B0">
            <w:pPr>
              <w:rPr>
                <w:rFonts w:eastAsia="Symbol" w:cs="Arial"/>
                <w:color w:val="000000"/>
                <w:sz w:val="18"/>
                <w:szCs w:val="18"/>
                <w:lang w:eastAsia="en-GB"/>
              </w:rPr>
            </w:pPr>
            <w:r w:rsidRPr="00F264B0">
              <w:rPr>
                <w:rFonts w:eastAsia="Symbol" w:cs="Arial"/>
                <w:color w:val="000000"/>
                <w:sz w:val="18"/>
                <w:szCs w:val="18"/>
                <w:lang w:eastAsia="en-GB"/>
              </w:rPr>
              <w:t xml:space="preserve">Sheet metal </w:t>
            </w:r>
          </w:p>
          <w:p w14:paraId="0B446683" w14:textId="77777777" w:rsidR="00F264B0" w:rsidRPr="00F264B0" w:rsidRDefault="00F264B0" w:rsidP="00F264B0">
            <w:pPr>
              <w:rPr>
                <w:rFonts w:cs="Arial"/>
                <w:color w:val="000000"/>
                <w:sz w:val="18"/>
                <w:szCs w:val="18"/>
                <w:lang w:eastAsia="en-GB"/>
              </w:rPr>
            </w:pPr>
            <w:r w:rsidRPr="00F264B0">
              <w:rPr>
                <w:rFonts w:eastAsia="Symbol" w:cs="Arial"/>
                <w:color w:val="000000"/>
                <w:sz w:val="18"/>
                <w:szCs w:val="18"/>
                <w:lang w:eastAsia="en-GB"/>
              </w:rPr>
              <w:t>(0.06%)</w:t>
            </w:r>
          </w:p>
        </w:tc>
        <w:tc>
          <w:tcPr>
            <w:tcW w:w="846" w:type="dxa"/>
            <w:vMerge w:val="restart"/>
            <w:tcBorders>
              <w:top w:val="nil"/>
              <w:left w:val="single" w:sz="8" w:space="0" w:color="auto"/>
              <w:bottom w:val="single" w:sz="8" w:space="0" w:color="000000"/>
              <w:right w:val="single" w:sz="8" w:space="0" w:color="auto"/>
            </w:tcBorders>
            <w:shd w:val="clear" w:color="auto" w:fill="auto"/>
            <w:vAlign w:val="center"/>
            <w:hideMark/>
          </w:tcPr>
          <w:p w14:paraId="5A1D5474" w14:textId="77777777" w:rsidR="00F264B0" w:rsidRPr="00F264B0" w:rsidRDefault="00F264B0" w:rsidP="00F264B0">
            <w:pPr>
              <w:jc w:val="center"/>
              <w:rPr>
                <w:rFonts w:cs="Arial"/>
                <w:color w:val="000000"/>
                <w:sz w:val="18"/>
                <w:szCs w:val="18"/>
                <w:lang w:eastAsia="en-GB"/>
              </w:rPr>
            </w:pPr>
            <w:r w:rsidRPr="00F264B0">
              <w:rPr>
                <w:rFonts w:cs="Arial"/>
                <w:color w:val="000000"/>
                <w:sz w:val="18"/>
                <w:szCs w:val="18"/>
                <w:lang w:eastAsia="en-GB"/>
              </w:rPr>
              <w:t> </w:t>
            </w:r>
          </w:p>
        </w:tc>
        <w:tc>
          <w:tcPr>
            <w:tcW w:w="1201" w:type="dxa"/>
            <w:vMerge w:val="restart"/>
            <w:tcBorders>
              <w:top w:val="nil"/>
              <w:left w:val="single" w:sz="8" w:space="0" w:color="auto"/>
              <w:bottom w:val="single" w:sz="8" w:space="0" w:color="000000"/>
              <w:right w:val="single" w:sz="8" w:space="0" w:color="auto"/>
            </w:tcBorders>
            <w:shd w:val="clear" w:color="auto" w:fill="auto"/>
            <w:vAlign w:val="center"/>
            <w:hideMark/>
          </w:tcPr>
          <w:p w14:paraId="323DCE11" w14:textId="77777777" w:rsidR="00F264B0" w:rsidRPr="00F264B0" w:rsidRDefault="00F264B0" w:rsidP="00F264B0">
            <w:pPr>
              <w:jc w:val="center"/>
              <w:rPr>
                <w:rFonts w:cs="Arial"/>
                <w:color w:val="000000"/>
                <w:sz w:val="18"/>
                <w:szCs w:val="18"/>
                <w:lang w:eastAsia="en-GB"/>
              </w:rPr>
            </w:pPr>
            <w:r w:rsidRPr="00F264B0">
              <w:rPr>
                <w:rFonts w:cs="Arial"/>
                <w:color w:val="000000"/>
                <w:sz w:val="18"/>
                <w:szCs w:val="18"/>
                <w:lang w:eastAsia="en-GB"/>
              </w:rPr>
              <w:t>1400</w:t>
            </w:r>
          </w:p>
        </w:tc>
        <w:tc>
          <w:tcPr>
            <w:tcW w:w="2173" w:type="dxa"/>
            <w:vMerge w:val="restart"/>
            <w:tcBorders>
              <w:top w:val="nil"/>
              <w:left w:val="single" w:sz="8" w:space="0" w:color="auto"/>
              <w:bottom w:val="single" w:sz="8" w:space="0" w:color="000000"/>
              <w:right w:val="single" w:sz="8" w:space="0" w:color="auto"/>
            </w:tcBorders>
            <w:shd w:val="clear" w:color="auto" w:fill="auto"/>
            <w:vAlign w:val="center"/>
            <w:hideMark/>
          </w:tcPr>
          <w:p w14:paraId="0817398C" w14:textId="77777777" w:rsidR="00F264B0" w:rsidRPr="00F264B0" w:rsidRDefault="00F264B0" w:rsidP="00F264B0">
            <w:pPr>
              <w:jc w:val="center"/>
              <w:rPr>
                <w:rFonts w:cs="Arial"/>
                <w:color w:val="000000"/>
                <w:sz w:val="18"/>
                <w:szCs w:val="18"/>
                <w:lang w:eastAsia="en-GB"/>
              </w:rPr>
            </w:pPr>
            <w:r w:rsidRPr="00F264B0">
              <w:rPr>
                <w:rFonts w:cs="Arial"/>
                <w:color w:val="000000"/>
                <w:sz w:val="18"/>
                <w:szCs w:val="18"/>
                <w:lang w:eastAsia="en-GB"/>
              </w:rPr>
              <w:t xml:space="preserve">3 (&lt;10%) </w:t>
            </w:r>
          </w:p>
        </w:tc>
        <w:tc>
          <w:tcPr>
            <w:tcW w:w="1971" w:type="dxa"/>
            <w:tcBorders>
              <w:top w:val="nil"/>
              <w:left w:val="nil"/>
              <w:bottom w:val="nil"/>
              <w:right w:val="single" w:sz="8" w:space="0" w:color="auto"/>
            </w:tcBorders>
            <w:shd w:val="clear" w:color="auto" w:fill="auto"/>
            <w:vAlign w:val="center"/>
            <w:hideMark/>
          </w:tcPr>
          <w:p w14:paraId="7E075B64" w14:textId="77777777" w:rsidR="00F264B0" w:rsidRPr="00F264B0" w:rsidRDefault="00F264B0" w:rsidP="00F264B0">
            <w:pPr>
              <w:rPr>
                <w:rFonts w:cs="Arial"/>
                <w:color w:val="000000"/>
                <w:sz w:val="18"/>
                <w:szCs w:val="18"/>
                <w:lang w:eastAsia="en-GB"/>
              </w:rPr>
            </w:pPr>
            <w:r w:rsidRPr="00F264B0">
              <w:rPr>
                <w:rFonts w:cs="Arial"/>
                <w:color w:val="000000"/>
                <w:sz w:val="18"/>
                <w:szCs w:val="18"/>
                <w:lang w:eastAsia="en-GB"/>
              </w:rPr>
              <w:t>Kelly, A. (2014a)</w:t>
            </w:r>
          </w:p>
        </w:tc>
      </w:tr>
      <w:tr w:rsidR="00F264B0" w:rsidRPr="00F264B0" w14:paraId="5B561AFB" w14:textId="77777777" w:rsidTr="00EF6A7D">
        <w:trPr>
          <w:trHeight w:val="315"/>
        </w:trPr>
        <w:tc>
          <w:tcPr>
            <w:tcW w:w="2881" w:type="dxa"/>
            <w:vMerge/>
            <w:tcBorders>
              <w:top w:val="nil"/>
              <w:left w:val="single" w:sz="8" w:space="0" w:color="auto"/>
              <w:bottom w:val="single" w:sz="8" w:space="0" w:color="000000"/>
              <w:right w:val="single" w:sz="8" w:space="0" w:color="auto"/>
            </w:tcBorders>
            <w:shd w:val="clear" w:color="auto" w:fill="auto"/>
            <w:vAlign w:val="center"/>
            <w:hideMark/>
          </w:tcPr>
          <w:p w14:paraId="5FFA30FC" w14:textId="77777777" w:rsidR="00F264B0" w:rsidRPr="00F264B0" w:rsidRDefault="00F264B0" w:rsidP="00F264B0">
            <w:pPr>
              <w:rPr>
                <w:rFonts w:cs="Arial"/>
                <w:color w:val="000000"/>
                <w:sz w:val="18"/>
                <w:szCs w:val="18"/>
                <w:lang w:eastAsia="en-GB"/>
              </w:rPr>
            </w:pPr>
          </w:p>
        </w:tc>
        <w:tc>
          <w:tcPr>
            <w:tcW w:w="846" w:type="dxa"/>
            <w:vMerge/>
            <w:tcBorders>
              <w:top w:val="nil"/>
              <w:left w:val="single" w:sz="8" w:space="0" w:color="auto"/>
              <w:bottom w:val="single" w:sz="8" w:space="0" w:color="000000"/>
              <w:right w:val="single" w:sz="8" w:space="0" w:color="auto"/>
            </w:tcBorders>
            <w:shd w:val="clear" w:color="auto" w:fill="auto"/>
            <w:vAlign w:val="center"/>
            <w:hideMark/>
          </w:tcPr>
          <w:p w14:paraId="1C3626DD" w14:textId="77777777" w:rsidR="00F264B0" w:rsidRPr="00F264B0" w:rsidRDefault="00F264B0" w:rsidP="00F264B0">
            <w:pPr>
              <w:rPr>
                <w:rFonts w:cs="Arial"/>
                <w:color w:val="000000"/>
                <w:sz w:val="18"/>
                <w:szCs w:val="18"/>
                <w:lang w:eastAsia="en-GB"/>
              </w:rPr>
            </w:pPr>
          </w:p>
        </w:tc>
        <w:tc>
          <w:tcPr>
            <w:tcW w:w="1201" w:type="dxa"/>
            <w:vMerge/>
            <w:tcBorders>
              <w:top w:val="nil"/>
              <w:left w:val="single" w:sz="8" w:space="0" w:color="auto"/>
              <w:bottom w:val="single" w:sz="8" w:space="0" w:color="000000"/>
              <w:right w:val="single" w:sz="8" w:space="0" w:color="auto"/>
            </w:tcBorders>
            <w:shd w:val="clear" w:color="auto" w:fill="auto"/>
            <w:vAlign w:val="center"/>
            <w:hideMark/>
          </w:tcPr>
          <w:p w14:paraId="647DB4AA" w14:textId="77777777" w:rsidR="00F264B0" w:rsidRPr="00F264B0" w:rsidRDefault="00F264B0" w:rsidP="00F264B0">
            <w:pPr>
              <w:rPr>
                <w:rFonts w:cs="Arial"/>
                <w:color w:val="000000"/>
                <w:sz w:val="18"/>
                <w:szCs w:val="18"/>
                <w:lang w:eastAsia="en-GB"/>
              </w:rPr>
            </w:pPr>
          </w:p>
        </w:tc>
        <w:tc>
          <w:tcPr>
            <w:tcW w:w="2173" w:type="dxa"/>
            <w:vMerge/>
            <w:tcBorders>
              <w:top w:val="nil"/>
              <w:left w:val="single" w:sz="8" w:space="0" w:color="auto"/>
              <w:bottom w:val="single" w:sz="8" w:space="0" w:color="000000"/>
              <w:right w:val="single" w:sz="8" w:space="0" w:color="auto"/>
            </w:tcBorders>
            <w:shd w:val="clear" w:color="auto" w:fill="auto"/>
            <w:vAlign w:val="center"/>
            <w:hideMark/>
          </w:tcPr>
          <w:p w14:paraId="4588C96E" w14:textId="77777777" w:rsidR="00F264B0" w:rsidRPr="00F264B0" w:rsidRDefault="00F264B0" w:rsidP="00F264B0">
            <w:pPr>
              <w:rPr>
                <w:rFonts w:cs="Arial"/>
                <w:color w:val="000000"/>
                <w:sz w:val="18"/>
                <w:szCs w:val="18"/>
                <w:lang w:eastAsia="en-GB"/>
              </w:rPr>
            </w:pPr>
          </w:p>
        </w:tc>
        <w:tc>
          <w:tcPr>
            <w:tcW w:w="1971" w:type="dxa"/>
            <w:tcBorders>
              <w:top w:val="nil"/>
              <w:left w:val="nil"/>
              <w:bottom w:val="single" w:sz="8" w:space="0" w:color="auto"/>
              <w:right w:val="single" w:sz="8" w:space="0" w:color="auto"/>
            </w:tcBorders>
            <w:shd w:val="clear" w:color="auto" w:fill="auto"/>
            <w:vAlign w:val="center"/>
            <w:hideMark/>
          </w:tcPr>
          <w:p w14:paraId="2BA45B7A" w14:textId="77777777" w:rsidR="00F264B0" w:rsidRPr="00F264B0" w:rsidRDefault="00F264B0" w:rsidP="00F264B0">
            <w:pPr>
              <w:jc w:val="center"/>
              <w:rPr>
                <w:rFonts w:cs="Arial"/>
                <w:color w:val="000000"/>
                <w:sz w:val="18"/>
                <w:szCs w:val="18"/>
                <w:lang w:eastAsia="en-GB"/>
              </w:rPr>
            </w:pPr>
          </w:p>
        </w:tc>
      </w:tr>
      <w:tr w:rsidR="00F264B0" w:rsidRPr="00F264B0" w14:paraId="057DF789" w14:textId="77777777" w:rsidTr="00EF6A7D">
        <w:trPr>
          <w:trHeight w:val="300"/>
        </w:trPr>
        <w:tc>
          <w:tcPr>
            <w:tcW w:w="2881" w:type="dxa"/>
            <w:vMerge w:val="restart"/>
            <w:tcBorders>
              <w:top w:val="nil"/>
              <w:left w:val="single" w:sz="8" w:space="0" w:color="auto"/>
              <w:bottom w:val="single" w:sz="8" w:space="0" w:color="000000"/>
              <w:right w:val="single" w:sz="8" w:space="0" w:color="auto"/>
            </w:tcBorders>
            <w:shd w:val="clear" w:color="auto" w:fill="auto"/>
            <w:vAlign w:val="center"/>
            <w:hideMark/>
          </w:tcPr>
          <w:p w14:paraId="1155E9DA" w14:textId="77777777" w:rsidR="00F264B0" w:rsidRPr="00F264B0" w:rsidRDefault="00F264B0" w:rsidP="00F264B0">
            <w:pPr>
              <w:rPr>
                <w:rFonts w:cs="Arial"/>
                <w:color w:val="000000"/>
                <w:sz w:val="18"/>
                <w:szCs w:val="18"/>
                <w:lang w:eastAsia="en-GB"/>
              </w:rPr>
            </w:pPr>
            <w:r w:rsidRPr="00F264B0">
              <w:rPr>
                <w:rFonts w:eastAsia="Symbol" w:cs="Arial"/>
                <w:color w:val="000000"/>
                <w:sz w:val="18"/>
                <w:szCs w:val="18"/>
                <w:lang w:eastAsia="en-GB"/>
              </w:rPr>
              <w:t>Metal drum, can and bin</w:t>
            </w:r>
          </w:p>
        </w:tc>
        <w:tc>
          <w:tcPr>
            <w:tcW w:w="846" w:type="dxa"/>
            <w:vMerge w:val="restart"/>
            <w:tcBorders>
              <w:top w:val="nil"/>
              <w:left w:val="single" w:sz="8" w:space="0" w:color="auto"/>
              <w:bottom w:val="single" w:sz="8" w:space="0" w:color="000000"/>
              <w:right w:val="single" w:sz="8" w:space="0" w:color="auto"/>
            </w:tcBorders>
            <w:shd w:val="clear" w:color="auto" w:fill="auto"/>
            <w:vAlign w:val="center"/>
            <w:hideMark/>
          </w:tcPr>
          <w:p w14:paraId="27F8FB6E" w14:textId="77777777" w:rsidR="00F264B0" w:rsidRPr="00F264B0" w:rsidRDefault="00F264B0" w:rsidP="00F264B0">
            <w:pPr>
              <w:jc w:val="center"/>
              <w:rPr>
                <w:rFonts w:cs="Arial"/>
                <w:color w:val="000000"/>
                <w:sz w:val="18"/>
                <w:szCs w:val="18"/>
                <w:lang w:eastAsia="en-GB"/>
              </w:rPr>
            </w:pPr>
            <w:r w:rsidRPr="00F264B0">
              <w:rPr>
                <w:rFonts w:cs="Arial"/>
                <w:color w:val="000000"/>
                <w:sz w:val="18"/>
                <w:szCs w:val="18"/>
                <w:lang w:eastAsia="en-GB"/>
              </w:rPr>
              <w:t> </w:t>
            </w:r>
          </w:p>
        </w:tc>
        <w:tc>
          <w:tcPr>
            <w:tcW w:w="1201" w:type="dxa"/>
            <w:vMerge w:val="restart"/>
            <w:tcBorders>
              <w:top w:val="nil"/>
              <w:left w:val="single" w:sz="8" w:space="0" w:color="auto"/>
              <w:bottom w:val="single" w:sz="8" w:space="0" w:color="000000"/>
              <w:right w:val="single" w:sz="8" w:space="0" w:color="auto"/>
            </w:tcBorders>
            <w:shd w:val="clear" w:color="auto" w:fill="auto"/>
            <w:vAlign w:val="center"/>
            <w:hideMark/>
          </w:tcPr>
          <w:p w14:paraId="15D27D63" w14:textId="77777777" w:rsidR="00F264B0" w:rsidRPr="00F264B0" w:rsidRDefault="00F264B0" w:rsidP="00F264B0">
            <w:pPr>
              <w:jc w:val="center"/>
              <w:rPr>
                <w:rFonts w:cs="Arial"/>
                <w:color w:val="000000"/>
                <w:sz w:val="18"/>
                <w:szCs w:val="18"/>
                <w:lang w:eastAsia="en-GB"/>
              </w:rPr>
            </w:pPr>
            <w:r w:rsidRPr="00F264B0">
              <w:rPr>
                <w:rFonts w:cs="Arial"/>
                <w:color w:val="000000"/>
                <w:sz w:val="18"/>
                <w:szCs w:val="18"/>
                <w:lang w:eastAsia="en-GB"/>
              </w:rPr>
              <w:t>200</w:t>
            </w:r>
          </w:p>
        </w:tc>
        <w:tc>
          <w:tcPr>
            <w:tcW w:w="2173" w:type="dxa"/>
            <w:vMerge w:val="restart"/>
            <w:tcBorders>
              <w:top w:val="nil"/>
              <w:left w:val="single" w:sz="8" w:space="0" w:color="auto"/>
              <w:bottom w:val="single" w:sz="8" w:space="0" w:color="000000"/>
              <w:right w:val="single" w:sz="8" w:space="0" w:color="auto"/>
            </w:tcBorders>
            <w:shd w:val="clear" w:color="auto" w:fill="auto"/>
            <w:vAlign w:val="center"/>
            <w:hideMark/>
          </w:tcPr>
          <w:p w14:paraId="4720EAF3" w14:textId="77777777" w:rsidR="00F264B0" w:rsidRPr="00F264B0" w:rsidRDefault="00F264B0" w:rsidP="00F264B0">
            <w:pPr>
              <w:jc w:val="center"/>
              <w:rPr>
                <w:rFonts w:cs="Arial"/>
                <w:color w:val="000000"/>
                <w:sz w:val="18"/>
                <w:szCs w:val="18"/>
                <w:lang w:eastAsia="en-GB"/>
              </w:rPr>
            </w:pPr>
            <w:r w:rsidRPr="00F264B0">
              <w:rPr>
                <w:rFonts w:cs="Arial"/>
                <w:color w:val="000000"/>
                <w:sz w:val="18"/>
                <w:szCs w:val="18"/>
                <w:lang w:eastAsia="en-GB"/>
              </w:rPr>
              <w:t>4 (77%)</w:t>
            </w:r>
          </w:p>
        </w:tc>
        <w:tc>
          <w:tcPr>
            <w:tcW w:w="1971" w:type="dxa"/>
            <w:tcBorders>
              <w:top w:val="single" w:sz="8" w:space="0" w:color="auto"/>
              <w:left w:val="nil"/>
              <w:bottom w:val="nil"/>
              <w:right w:val="single" w:sz="8" w:space="0" w:color="auto"/>
            </w:tcBorders>
            <w:shd w:val="clear" w:color="auto" w:fill="auto"/>
            <w:vAlign w:val="center"/>
            <w:hideMark/>
          </w:tcPr>
          <w:p w14:paraId="54E237A7" w14:textId="77777777" w:rsidR="00F264B0" w:rsidRPr="00F264B0" w:rsidRDefault="00F264B0" w:rsidP="00F264B0">
            <w:pPr>
              <w:rPr>
                <w:rFonts w:cs="Arial"/>
                <w:color w:val="000000"/>
                <w:sz w:val="18"/>
                <w:szCs w:val="18"/>
                <w:lang w:eastAsia="en-GB"/>
              </w:rPr>
            </w:pPr>
            <w:r w:rsidRPr="00F264B0">
              <w:rPr>
                <w:rFonts w:cs="Arial"/>
                <w:color w:val="000000"/>
                <w:sz w:val="18"/>
                <w:szCs w:val="18"/>
                <w:lang w:eastAsia="en-GB"/>
              </w:rPr>
              <w:t>Kelly, A. (2013)</w:t>
            </w:r>
          </w:p>
        </w:tc>
      </w:tr>
      <w:tr w:rsidR="00F264B0" w:rsidRPr="00F264B0" w14:paraId="6A51D1B5" w14:textId="77777777" w:rsidTr="00EF6A7D">
        <w:trPr>
          <w:trHeight w:val="315"/>
        </w:trPr>
        <w:tc>
          <w:tcPr>
            <w:tcW w:w="2881" w:type="dxa"/>
            <w:vMerge/>
            <w:tcBorders>
              <w:top w:val="nil"/>
              <w:left w:val="single" w:sz="8" w:space="0" w:color="auto"/>
              <w:bottom w:val="single" w:sz="8" w:space="0" w:color="000000"/>
              <w:right w:val="single" w:sz="8" w:space="0" w:color="auto"/>
            </w:tcBorders>
            <w:shd w:val="clear" w:color="auto" w:fill="auto"/>
            <w:vAlign w:val="center"/>
            <w:hideMark/>
          </w:tcPr>
          <w:p w14:paraId="4C8DEB88" w14:textId="77777777" w:rsidR="00F264B0" w:rsidRPr="00F264B0" w:rsidRDefault="00F264B0" w:rsidP="00F264B0">
            <w:pPr>
              <w:rPr>
                <w:rFonts w:cs="Arial"/>
                <w:color w:val="000000"/>
                <w:sz w:val="18"/>
                <w:szCs w:val="18"/>
                <w:lang w:eastAsia="en-GB"/>
              </w:rPr>
            </w:pPr>
          </w:p>
        </w:tc>
        <w:tc>
          <w:tcPr>
            <w:tcW w:w="846" w:type="dxa"/>
            <w:vMerge/>
            <w:tcBorders>
              <w:top w:val="nil"/>
              <w:left w:val="single" w:sz="8" w:space="0" w:color="auto"/>
              <w:bottom w:val="single" w:sz="8" w:space="0" w:color="000000"/>
              <w:right w:val="single" w:sz="8" w:space="0" w:color="auto"/>
            </w:tcBorders>
            <w:shd w:val="clear" w:color="auto" w:fill="auto"/>
            <w:vAlign w:val="center"/>
            <w:hideMark/>
          </w:tcPr>
          <w:p w14:paraId="7B91930D" w14:textId="77777777" w:rsidR="00F264B0" w:rsidRPr="00F264B0" w:rsidRDefault="00F264B0" w:rsidP="00F264B0">
            <w:pPr>
              <w:rPr>
                <w:rFonts w:cs="Arial"/>
                <w:color w:val="000000"/>
                <w:sz w:val="18"/>
                <w:szCs w:val="18"/>
                <w:lang w:eastAsia="en-GB"/>
              </w:rPr>
            </w:pPr>
          </w:p>
        </w:tc>
        <w:tc>
          <w:tcPr>
            <w:tcW w:w="1201" w:type="dxa"/>
            <w:vMerge/>
            <w:tcBorders>
              <w:top w:val="nil"/>
              <w:left w:val="single" w:sz="8" w:space="0" w:color="auto"/>
              <w:bottom w:val="single" w:sz="8" w:space="0" w:color="000000"/>
              <w:right w:val="single" w:sz="8" w:space="0" w:color="auto"/>
            </w:tcBorders>
            <w:shd w:val="clear" w:color="auto" w:fill="auto"/>
            <w:vAlign w:val="center"/>
            <w:hideMark/>
          </w:tcPr>
          <w:p w14:paraId="1AC340FA" w14:textId="77777777" w:rsidR="00F264B0" w:rsidRPr="00F264B0" w:rsidRDefault="00F264B0" w:rsidP="00F264B0">
            <w:pPr>
              <w:rPr>
                <w:rFonts w:cs="Arial"/>
                <w:color w:val="000000"/>
                <w:sz w:val="18"/>
                <w:szCs w:val="18"/>
                <w:lang w:eastAsia="en-GB"/>
              </w:rPr>
            </w:pPr>
          </w:p>
        </w:tc>
        <w:tc>
          <w:tcPr>
            <w:tcW w:w="2173" w:type="dxa"/>
            <w:vMerge/>
            <w:tcBorders>
              <w:top w:val="nil"/>
              <w:left w:val="single" w:sz="8" w:space="0" w:color="auto"/>
              <w:bottom w:val="single" w:sz="8" w:space="0" w:color="000000"/>
              <w:right w:val="single" w:sz="8" w:space="0" w:color="auto"/>
            </w:tcBorders>
            <w:shd w:val="clear" w:color="auto" w:fill="auto"/>
            <w:vAlign w:val="center"/>
            <w:hideMark/>
          </w:tcPr>
          <w:p w14:paraId="4FA075D6" w14:textId="77777777" w:rsidR="00F264B0" w:rsidRPr="00F264B0" w:rsidRDefault="00F264B0" w:rsidP="00F264B0">
            <w:pPr>
              <w:rPr>
                <w:rFonts w:cs="Arial"/>
                <w:color w:val="000000"/>
                <w:sz w:val="18"/>
                <w:szCs w:val="18"/>
                <w:lang w:eastAsia="en-GB"/>
              </w:rPr>
            </w:pPr>
          </w:p>
        </w:tc>
        <w:tc>
          <w:tcPr>
            <w:tcW w:w="1971" w:type="dxa"/>
            <w:tcBorders>
              <w:top w:val="nil"/>
              <w:left w:val="nil"/>
              <w:bottom w:val="single" w:sz="8" w:space="0" w:color="auto"/>
              <w:right w:val="single" w:sz="8" w:space="0" w:color="auto"/>
            </w:tcBorders>
            <w:shd w:val="clear" w:color="auto" w:fill="auto"/>
            <w:vAlign w:val="center"/>
            <w:hideMark/>
          </w:tcPr>
          <w:p w14:paraId="59D5635D" w14:textId="77777777" w:rsidR="00F264B0" w:rsidRPr="00F264B0" w:rsidRDefault="00F264B0" w:rsidP="00F264B0">
            <w:pPr>
              <w:jc w:val="right"/>
              <w:rPr>
                <w:rFonts w:cs="Arial"/>
                <w:color w:val="000000"/>
                <w:sz w:val="18"/>
                <w:szCs w:val="18"/>
                <w:lang w:eastAsia="en-GB"/>
              </w:rPr>
            </w:pPr>
          </w:p>
        </w:tc>
      </w:tr>
      <w:tr w:rsidR="00F264B0" w:rsidRPr="00F264B0" w14:paraId="0552C6E5" w14:textId="77777777" w:rsidTr="00EF6A7D">
        <w:trPr>
          <w:trHeight w:val="300"/>
        </w:trPr>
        <w:tc>
          <w:tcPr>
            <w:tcW w:w="2881" w:type="dxa"/>
            <w:vMerge w:val="restart"/>
            <w:tcBorders>
              <w:top w:val="nil"/>
              <w:left w:val="single" w:sz="8" w:space="0" w:color="auto"/>
              <w:bottom w:val="single" w:sz="8" w:space="0" w:color="000000"/>
              <w:right w:val="single" w:sz="8" w:space="0" w:color="auto"/>
            </w:tcBorders>
            <w:shd w:val="pct12" w:color="auto" w:fill="auto"/>
            <w:vAlign w:val="center"/>
            <w:hideMark/>
          </w:tcPr>
          <w:p w14:paraId="5FE6EE4F" w14:textId="77777777" w:rsidR="00F264B0" w:rsidRPr="00F264B0" w:rsidRDefault="00F264B0" w:rsidP="00F264B0">
            <w:pPr>
              <w:rPr>
                <w:rFonts w:cs="Arial"/>
                <w:b/>
                <w:bCs/>
                <w:color w:val="000000"/>
                <w:sz w:val="18"/>
                <w:szCs w:val="18"/>
                <w:lang w:eastAsia="en-GB"/>
              </w:rPr>
            </w:pPr>
            <w:r w:rsidRPr="00F264B0">
              <w:rPr>
                <w:rFonts w:cs="Arial"/>
                <w:b/>
                <w:bCs/>
                <w:color w:val="000000"/>
                <w:sz w:val="18"/>
                <w:szCs w:val="18"/>
                <w:lang w:eastAsia="en-GB"/>
              </w:rPr>
              <w:t>Glass</w:t>
            </w:r>
          </w:p>
          <w:p w14:paraId="39513992" w14:textId="77777777" w:rsidR="00F264B0" w:rsidRPr="00F264B0" w:rsidRDefault="00F264B0" w:rsidP="00F264B0">
            <w:pPr>
              <w:rPr>
                <w:rFonts w:cs="Arial"/>
                <w:b/>
                <w:bCs/>
                <w:color w:val="000000"/>
                <w:sz w:val="18"/>
                <w:szCs w:val="18"/>
                <w:lang w:eastAsia="en-GB"/>
              </w:rPr>
            </w:pPr>
            <w:r w:rsidRPr="00F264B0">
              <w:rPr>
                <w:rFonts w:cs="Arial"/>
                <w:color w:val="000000"/>
                <w:sz w:val="18"/>
                <w:szCs w:val="18"/>
                <w:lang w:eastAsia="en-GB"/>
              </w:rPr>
              <w:t xml:space="preserve"> (0.07%)</w:t>
            </w:r>
          </w:p>
        </w:tc>
        <w:tc>
          <w:tcPr>
            <w:tcW w:w="846" w:type="dxa"/>
            <w:vMerge w:val="restart"/>
            <w:tcBorders>
              <w:top w:val="nil"/>
              <w:left w:val="single" w:sz="8" w:space="0" w:color="auto"/>
              <w:bottom w:val="single" w:sz="8" w:space="0" w:color="000000"/>
              <w:right w:val="single" w:sz="8" w:space="0" w:color="auto"/>
            </w:tcBorders>
            <w:shd w:val="pct12" w:color="auto" w:fill="auto"/>
            <w:vAlign w:val="center"/>
            <w:hideMark/>
          </w:tcPr>
          <w:p w14:paraId="7C1A6CF4" w14:textId="77777777" w:rsidR="00F264B0" w:rsidRPr="00F264B0" w:rsidRDefault="00F264B0" w:rsidP="00F264B0">
            <w:pPr>
              <w:jc w:val="center"/>
              <w:rPr>
                <w:rFonts w:cs="Arial"/>
                <w:color w:val="000000"/>
                <w:sz w:val="18"/>
                <w:szCs w:val="18"/>
                <w:lang w:eastAsia="en-GB"/>
              </w:rPr>
            </w:pPr>
            <w:r w:rsidRPr="00F264B0">
              <w:rPr>
                <w:rFonts w:cs="Arial"/>
                <w:color w:val="000000"/>
                <w:sz w:val="18"/>
                <w:szCs w:val="18"/>
                <w:lang w:eastAsia="en-GB"/>
              </w:rPr>
              <w:t>10</w:t>
            </w:r>
          </w:p>
        </w:tc>
        <w:tc>
          <w:tcPr>
            <w:tcW w:w="1201" w:type="dxa"/>
            <w:vMerge w:val="restart"/>
            <w:tcBorders>
              <w:top w:val="nil"/>
              <w:left w:val="single" w:sz="8" w:space="0" w:color="auto"/>
              <w:bottom w:val="single" w:sz="8" w:space="0" w:color="000000"/>
              <w:right w:val="single" w:sz="8" w:space="0" w:color="auto"/>
            </w:tcBorders>
            <w:shd w:val="pct12" w:color="auto" w:fill="auto"/>
            <w:vAlign w:val="center"/>
            <w:hideMark/>
          </w:tcPr>
          <w:p w14:paraId="1CD2C175" w14:textId="77777777" w:rsidR="00F264B0" w:rsidRPr="00F264B0" w:rsidRDefault="00F264B0" w:rsidP="00F264B0">
            <w:pPr>
              <w:jc w:val="center"/>
              <w:rPr>
                <w:rFonts w:cs="Arial"/>
                <w:color w:val="000000"/>
                <w:sz w:val="18"/>
                <w:szCs w:val="18"/>
                <w:lang w:eastAsia="en-GB"/>
              </w:rPr>
            </w:pPr>
            <w:r w:rsidRPr="00F264B0">
              <w:rPr>
                <w:rFonts w:cs="Arial"/>
                <w:color w:val="000000"/>
                <w:sz w:val="18"/>
                <w:szCs w:val="18"/>
                <w:lang w:eastAsia="en-GB"/>
              </w:rPr>
              <w:t>755</w:t>
            </w:r>
          </w:p>
        </w:tc>
        <w:tc>
          <w:tcPr>
            <w:tcW w:w="2173" w:type="dxa"/>
            <w:vMerge w:val="restart"/>
            <w:tcBorders>
              <w:top w:val="nil"/>
              <w:left w:val="single" w:sz="8" w:space="0" w:color="auto"/>
              <w:bottom w:val="single" w:sz="8" w:space="0" w:color="000000"/>
              <w:right w:val="single" w:sz="8" w:space="0" w:color="auto"/>
            </w:tcBorders>
            <w:shd w:val="pct12" w:color="auto" w:fill="auto"/>
            <w:vAlign w:val="center"/>
            <w:hideMark/>
          </w:tcPr>
          <w:p w14:paraId="5C545FDF" w14:textId="77777777" w:rsidR="00F264B0" w:rsidRPr="00F264B0" w:rsidRDefault="00F264B0" w:rsidP="00F264B0">
            <w:pPr>
              <w:jc w:val="center"/>
              <w:rPr>
                <w:rFonts w:cs="Arial"/>
                <w:color w:val="000000"/>
                <w:sz w:val="18"/>
                <w:szCs w:val="18"/>
                <w:lang w:eastAsia="en-GB"/>
              </w:rPr>
            </w:pPr>
            <w:r w:rsidRPr="00F264B0">
              <w:rPr>
                <w:rFonts w:cs="Arial"/>
                <w:color w:val="000000"/>
                <w:sz w:val="18"/>
                <w:szCs w:val="18"/>
                <w:lang w:eastAsia="en-GB"/>
              </w:rPr>
              <w:t>2 (42%)</w:t>
            </w:r>
          </w:p>
        </w:tc>
        <w:tc>
          <w:tcPr>
            <w:tcW w:w="1971" w:type="dxa"/>
            <w:tcBorders>
              <w:top w:val="single" w:sz="8" w:space="0" w:color="auto"/>
              <w:left w:val="nil"/>
              <w:bottom w:val="nil"/>
              <w:right w:val="single" w:sz="8" w:space="0" w:color="auto"/>
            </w:tcBorders>
            <w:shd w:val="pct12" w:color="auto" w:fill="auto"/>
            <w:vAlign w:val="center"/>
            <w:hideMark/>
          </w:tcPr>
          <w:p w14:paraId="2BEEDAF6" w14:textId="77777777" w:rsidR="00F264B0" w:rsidRPr="00F264B0" w:rsidRDefault="00F264B0" w:rsidP="00F264B0">
            <w:pPr>
              <w:rPr>
                <w:rFonts w:cs="Arial"/>
                <w:color w:val="000000"/>
                <w:sz w:val="18"/>
                <w:szCs w:val="18"/>
                <w:lang w:eastAsia="en-GB"/>
              </w:rPr>
            </w:pPr>
            <w:r w:rsidRPr="00F264B0">
              <w:rPr>
                <w:rFonts w:cs="Arial"/>
                <w:color w:val="000000"/>
                <w:sz w:val="18"/>
                <w:szCs w:val="18"/>
                <w:lang w:eastAsia="en-GB"/>
              </w:rPr>
              <w:t>Kelly, A. (2014b)</w:t>
            </w:r>
          </w:p>
        </w:tc>
      </w:tr>
      <w:tr w:rsidR="00F264B0" w:rsidRPr="00F264B0" w14:paraId="3FD02EAF" w14:textId="77777777" w:rsidTr="00EF6A7D">
        <w:trPr>
          <w:trHeight w:val="315"/>
        </w:trPr>
        <w:tc>
          <w:tcPr>
            <w:tcW w:w="2881" w:type="dxa"/>
            <w:vMerge/>
            <w:tcBorders>
              <w:top w:val="nil"/>
              <w:left w:val="single" w:sz="8" w:space="0" w:color="auto"/>
              <w:bottom w:val="single" w:sz="8" w:space="0" w:color="000000"/>
              <w:right w:val="single" w:sz="8" w:space="0" w:color="auto"/>
            </w:tcBorders>
            <w:shd w:val="pct12" w:color="auto" w:fill="auto"/>
            <w:vAlign w:val="center"/>
            <w:hideMark/>
          </w:tcPr>
          <w:p w14:paraId="53A4E328" w14:textId="77777777" w:rsidR="00F264B0" w:rsidRPr="00F264B0" w:rsidRDefault="00F264B0" w:rsidP="00F264B0">
            <w:pPr>
              <w:rPr>
                <w:rFonts w:cs="Arial"/>
                <w:b/>
                <w:bCs/>
                <w:color w:val="000000"/>
                <w:sz w:val="18"/>
                <w:szCs w:val="18"/>
                <w:lang w:eastAsia="en-GB"/>
              </w:rPr>
            </w:pPr>
          </w:p>
        </w:tc>
        <w:tc>
          <w:tcPr>
            <w:tcW w:w="846" w:type="dxa"/>
            <w:vMerge/>
            <w:tcBorders>
              <w:top w:val="nil"/>
              <w:left w:val="single" w:sz="8" w:space="0" w:color="auto"/>
              <w:bottom w:val="single" w:sz="8" w:space="0" w:color="000000"/>
              <w:right w:val="single" w:sz="8" w:space="0" w:color="auto"/>
            </w:tcBorders>
            <w:shd w:val="pct12" w:color="auto" w:fill="auto"/>
            <w:vAlign w:val="center"/>
            <w:hideMark/>
          </w:tcPr>
          <w:p w14:paraId="77AB568F" w14:textId="77777777" w:rsidR="00F264B0" w:rsidRPr="00F264B0" w:rsidRDefault="00F264B0" w:rsidP="00F264B0">
            <w:pPr>
              <w:rPr>
                <w:rFonts w:cs="Arial"/>
                <w:color w:val="000000"/>
                <w:sz w:val="18"/>
                <w:szCs w:val="18"/>
                <w:lang w:eastAsia="en-GB"/>
              </w:rPr>
            </w:pPr>
          </w:p>
        </w:tc>
        <w:tc>
          <w:tcPr>
            <w:tcW w:w="1201" w:type="dxa"/>
            <w:vMerge/>
            <w:tcBorders>
              <w:top w:val="nil"/>
              <w:left w:val="single" w:sz="8" w:space="0" w:color="auto"/>
              <w:bottom w:val="single" w:sz="8" w:space="0" w:color="000000"/>
              <w:right w:val="single" w:sz="8" w:space="0" w:color="auto"/>
            </w:tcBorders>
            <w:shd w:val="pct12" w:color="auto" w:fill="auto"/>
            <w:vAlign w:val="center"/>
            <w:hideMark/>
          </w:tcPr>
          <w:p w14:paraId="0324B4C6" w14:textId="77777777" w:rsidR="00F264B0" w:rsidRPr="00F264B0" w:rsidRDefault="00F264B0" w:rsidP="00F264B0">
            <w:pPr>
              <w:rPr>
                <w:rFonts w:cs="Arial"/>
                <w:color w:val="000000"/>
                <w:sz w:val="18"/>
                <w:szCs w:val="18"/>
                <w:lang w:eastAsia="en-GB"/>
              </w:rPr>
            </w:pPr>
          </w:p>
        </w:tc>
        <w:tc>
          <w:tcPr>
            <w:tcW w:w="2173" w:type="dxa"/>
            <w:vMerge/>
            <w:tcBorders>
              <w:top w:val="nil"/>
              <w:left w:val="single" w:sz="8" w:space="0" w:color="auto"/>
              <w:bottom w:val="single" w:sz="8" w:space="0" w:color="000000"/>
              <w:right w:val="single" w:sz="8" w:space="0" w:color="auto"/>
            </w:tcBorders>
            <w:shd w:val="pct12" w:color="auto" w:fill="auto"/>
            <w:vAlign w:val="center"/>
            <w:hideMark/>
          </w:tcPr>
          <w:p w14:paraId="3237B6F8" w14:textId="77777777" w:rsidR="00F264B0" w:rsidRPr="00F264B0" w:rsidRDefault="00F264B0" w:rsidP="00F264B0">
            <w:pPr>
              <w:rPr>
                <w:rFonts w:cs="Arial"/>
                <w:color w:val="000000"/>
                <w:sz w:val="18"/>
                <w:szCs w:val="18"/>
                <w:lang w:eastAsia="en-GB"/>
              </w:rPr>
            </w:pPr>
          </w:p>
        </w:tc>
        <w:tc>
          <w:tcPr>
            <w:tcW w:w="1971" w:type="dxa"/>
            <w:tcBorders>
              <w:top w:val="nil"/>
              <w:left w:val="nil"/>
              <w:bottom w:val="single" w:sz="8" w:space="0" w:color="auto"/>
              <w:right w:val="single" w:sz="8" w:space="0" w:color="auto"/>
            </w:tcBorders>
            <w:shd w:val="pct12" w:color="auto" w:fill="auto"/>
            <w:vAlign w:val="center"/>
            <w:hideMark/>
          </w:tcPr>
          <w:p w14:paraId="1E7313ED" w14:textId="77777777" w:rsidR="00F264B0" w:rsidRPr="00F264B0" w:rsidRDefault="00F264B0" w:rsidP="00F264B0">
            <w:pPr>
              <w:jc w:val="right"/>
              <w:rPr>
                <w:rFonts w:cs="Arial"/>
                <w:color w:val="000000"/>
                <w:sz w:val="18"/>
                <w:szCs w:val="18"/>
                <w:lang w:eastAsia="en-GB"/>
              </w:rPr>
            </w:pPr>
          </w:p>
        </w:tc>
      </w:tr>
      <w:tr w:rsidR="00F264B0" w:rsidRPr="00F264B0" w14:paraId="2E1C46EF" w14:textId="77777777" w:rsidTr="00EF6A7D">
        <w:trPr>
          <w:trHeight w:val="300"/>
        </w:trPr>
        <w:tc>
          <w:tcPr>
            <w:tcW w:w="2881" w:type="dxa"/>
            <w:vMerge w:val="restart"/>
            <w:tcBorders>
              <w:top w:val="nil"/>
              <w:left w:val="single" w:sz="8" w:space="0" w:color="auto"/>
              <w:bottom w:val="single" w:sz="8" w:space="0" w:color="000000"/>
              <w:right w:val="single" w:sz="8" w:space="0" w:color="auto"/>
            </w:tcBorders>
            <w:shd w:val="clear" w:color="auto" w:fill="auto"/>
            <w:vAlign w:val="center"/>
            <w:hideMark/>
          </w:tcPr>
          <w:p w14:paraId="309BC345" w14:textId="77777777" w:rsidR="00F264B0" w:rsidRPr="00F264B0" w:rsidRDefault="00F264B0" w:rsidP="00F264B0">
            <w:pPr>
              <w:rPr>
                <w:rFonts w:cs="Arial"/>
                <w:sz w:val="18"/>
                <w:szCs w:val="18"/>
                <w:lang w:eastAsia="en-GB"/>
              </w:rPr>
            </w:pPr>
            <w:r w:rsidRPr="00F264B0">
              <w:rPr>
                <w:rFonts w:cs="Arial"/>
                <w:b/>
                <w:sz w:val="18"/>
                <w:szCs w:val="18"/>
                <w:lang w:eastAsia="en-GB"/>
              </w:rPr>
              <w:footnoteReference w:customMarkFollows="1" w:id="16"/>
              <w:t>Adhesives</w:t>
            </w:r>
            <w:r w:rsidRPr="00F264B0">
              <w:rPr>
                <w:rFonts w:cs="Arial"/>
                <w:sz w:val="18"/>
                <w:szCs w:val="18"/>
                <w:lang w:eastAsia="en-GB"/>
              </w:rPr>
              <w:t xml:space="preserve"> </w:t>
            </w:r>
          </w:p>
          <w:p w14:paraId="629F03C8" w14:textId="77777777" w:rsidR="00F264B0" w:rsidRPr="00F264B0" w:rsidRDefault="00F264B0" w:rsidP="00F264B0">
            <w:pPr>
              <w:rPr>
                <w:rFonts w:cs="Arial"/>
                <w:color w:val="0000FF"/>
                <w:sz w:val="18"/>
                <w:szCs w:val="18"/>
                <w:lang w:eastAsia="en-GB"/>
              </w:rPr>
            </w:pPr>
            <w:r w:rsidRPr="00F264B0">
              <w:rPr>
                <w:rFonts w:cs="Arial"/>
                <w:sz w:val="18"/>
                <w:szCs w:val="18"/>
                <w:lang w:eastAsia="en-GB"/>
              </w:rPr>
              <w:t>(0.02%)</w:t>
            </w:r>
          </w:p>
        </w:tc>
        <w:tc>
          <w:tcPr>
            <w:tcW w:w="846" w:type="dxa"/>
            <w:vMerge w:val="restart"/>
            <w:tcBorders>
              <w:top w:val="nil"/>
              <w:left w:val="single" w:sz="8" w:space="0" w:color="auto"/>
              <w:bottom w:val="single" w:sz="8" w:space="0" w:color="000000"/>
              <w:right w:val="single" w:sz="8" w:space="0" w:color="auto"/>
            </w:tcBorders>
            <w:shd w:val="clear" w:color="auto" w:fill="auto"/>
            <w:vAlign w:val="center"/>
            <w:hideMark/>
          </w:tcPr>
          <w:p w14:paraId="09610812" w14:textId="77777777" w:rsidR="00F264B0" w:rsidRPr="00F264B0" w:rsidRDefault="00F264B0" w:rsidP="00F264B0">
            <w:pPr>
              <w:jc w:val="center"/>
              <w:rPr>
                <w:rFonts w:cs="Arial"/>
                <w:color w:val="000000"/>
                <w:sz w:val="18"/>
                <w:szCs w:val="18"/>
                <w:lang w:eastAsia="en-GB"/>
              </w:rPr>
            </w:pPr>
            <w:r w:rsidRPr="00F264B0">
              <w:rPr>
                <w:rFonts w:cs="Arial"/>
                <w:color w:val="000000"/>
                <w:sz w:val="18"/>
                <w:szCs w:val="18"/>
                <w:lang w:eastAsia="en-GB"/>
              </w:rPr>
              <w:t>&lt;4%</w:t>
            </w:r>
          </w:p>
        </w:tc>
        <w:tc>
          <w:tcPr>
            <w:tcW w:w="1201" w:type="dxa"/>
            <w:vMerge w:val="restart"/>
            <w:tcBorders>
              <w:top w:val="nil"/>
              <w:left w:val="single" w:sz="8" w:space="0" w:color="auto"/>
              <w:bottom w:val="single" w:sz="8" w:space="0" w:color="000000"/>
              <w:right w:val="single" w:sz="8" w:space="0" w:color="auto"/>
            </w:tcBorders>
            <w:shd w:val="clear" w:color="auto" w:fill="auto"/>
            <w:vAlign w:val="center"/>
            <w:hideMark/>
          </w:tcPr>
          <w:p w14:paraId="6A7F4A0B" w14:textId="77777777" w:rsidR="00F264B0" w:rsidRPr="00F264B0" w:rsidRDefault="00F264B0" w:rsidP="00F264B0">
            <w:pPr>
              <w:jc w:val="center"/>
              <w:rPr>
                <w:rFonts w:cs="Arial"/>
                <w:color w:val="000000"/>
                <w:sz w:val="18"/>
                <w:szCs w:val="18"/>
                <w:lang w:eastAsia="en-GB"/>
              </w:rPr>
            </w:pPr>
            <w:r w:rsidRPr="00F264B0">
              <w:rPr>
                <w:rFonts w:cs="Arial"/>
                <w:color w:val="000000"/>
                <w:sz w:val="18"/>
                <w:szCs w:val="18"/>
                <w:lang w:eastAsia="en-GB"/>
              </w:rPr>
              <w:t>50</w:t>
            </w:r>
          </w:p>
        </w:tc>
        <w:tc>
          <w:tcPr>
            <w:tcW w:w="2173" w:type="dxa"/>
            <w:vMerge w:val="restart"/>
            <w:tcBorders>
              <w:top w:val="nil"/>
              <w:left w:val="single" w:sz="8" w:space="0" w:color="auto"/>
              <w:bottom w:val="single" w:sz="8" w:space="0" w:color="000000"/>
              <w:right w:val="single" w:sz="8" w:space="0" w:color="auto"/>
            </w:tcBorders>
            <w:shd w:val="clear" w:color="auto" w:fill="auto"/>
            <w:vAlign w:val="center"/>
            <w:hideMark/>
          </w:tcPr>
          <w:p w14:paraId="304867FB" w14:textId="77777777" w:rsidR="00F264B0" w:rsidRPr="00F264B0" w:rsidRDefault="00F264B0" w:rsidP="00F264B0">
            <w:pPr>
              <w:jc w:val="center"/>
              <w:rPr>
                <w:rFonts w:cs="Arial"/>
                <w:color w:val="000000"/>
                <w:sz w:val="18"/>
                <w:szCs w:val="18"/>
                <w:lang w:eastAsia="en-GB"/>
              </w:rPr>
            </w:pPr>
            <w:r w:rsidRPr="00F264B0">
              <w:rPr>
                <w:rFonts w:cs="Arial"/>
                <w:color w:val="000000"/>
                <w:sz w:val="18"/>
                <w:szCs w:val="18"/>
                <w:lang w:eastAsia="en-GB"/>
              </w:rPr>
              <w:t>3 (31%)</w:t>
            </w:r>
          </w:p>
        </w:tc>
        <w:tc>
          <w:tcPr>
            <w:tcW w:w="1971" w:type="dxa"/>
            <w:tcBorders>
              <w:top w:val="single" w:sz="8" w:space="0" w:color="auto"/>
              <w:left w:val="nil"/>
              <w:bottom w:val="nil"/>
              <w:right w:val="single" w:sz="8" w:space="0" w:color="auto"/>
            </w:tcBorders>
            <w:shd w:val="clear" w:color="auto" w:fill="auto"/>
            <w:vAlign w:val="center"/>
            <w:hideMark/>
          </w:tcPr>
          <w:p w14:paraId="64C9D5CF" w14:textId="77777777" w:rsidR="00F264B0" w:rsidRPr="00F264B0" w:rsidRDefault="00F264B0" w:rsidP="00F264B0">
            <w:pPr>
              <w:rPr>
                <w:rFonts w:cs="Arial"/>
                <w:color w:val="000000"/>
                <w:sz w:val="18"/>
                <w:szCs w:val="18"/>
                <w:lang w:eastAsia="en-GB"/>
              </w:rPr>
            </w:pPr>
            <w:r w:rsidRPr="00F264B0">
              <w:rPr>
                <w:rFonts w:cs="Arial"/>
                <w:color w:val="000000"/>
                <w:sz w:val="18"/>
                <w:szCs w:val="18"/>
                <w:lang w:eastAsia="en-GB"/>
              </w:rPr>
              <w:t>Richardson, A. (2014a)</w:t>
            </w:r>
          </w:p>
        </w:tc>
      </w:tr>
      <w:tr w:rsidR="00F264B0" w:rsidRPr="00F264B0" w14:paraId="1B4F9FE6" w14:textId="77777777" w:rsidTr="00EF6A7D">
        <w:trPr>
          <w:trHeight w:val="315"/>
        </w:trPr>
        <w:tc>
          <w:tcPr>
            <w:tcW w:w="2881" w:type="dxa"/>
            <w:vMerge/>
            <w:tcBorders>
              <w:top w:val="nil"/>
              <w:left w:val="single" w:sz="8" w:space="0" w:color="auto"/>
              <w:bottom w:val="single" w:sz="8" w:space="0" w:color="000000"/>
              <w:right w:val="single" w:sz="8" w:space="0" w:color="auto"/>
            </w:tcBorders>
            <w:shd w:val="clear" w:color="auto" w:fill="auto"/>
            <w:vAlign w:val="center"/>
            <w:hideMark/>
          </w:tcPr>
          <w:p w14:paraId="0DDA0569" w14:textId="77777777" w:rsidR="00F264B0" w:rsidRPr="00F264B0" w:rsidRDefault="00F264B0" w:rsidP="00F264B0">
            <w:pPr>
              <w:rPr>
                <w:rFonts w:cs="Arial"/>
                <w:color w:val="0000FF"/>
                <w:sz w:val="18"/>
                <w:szCs w:val="18"/>
                <w:u w:val="single"/>
                <w:lang w:eastAsia="en-GB"/>
              </w:rPr>
            </w:pPr>
          </w:p>
        </w:tc>
        <w:tc>
          <w:tcPr>
            <w:tcW w:w="846" w:type="dxa"/>
            <w:vMerge/>
            <w:tcBorders>
              <w:top w:val="nil"/>
              <w:left w:val="single" w:sz="8" w:space="0" w:color="auto"/>
              <w:bottom w:val="single" w:sz="8" w:space="0" w:color="000000"/>
              <w:right w:val="single" w:sz="8" w:space="0" w:color="auto"/>
            </w:tcBorders>
            <w:shd w:val="clear" w:color="auto" w:fill="auto"/>
            <w:vAlign w:val="center"/>
            <w:hideMark/>
          </w:tcPr>
          <w:p w14:paraId="000E44AC" w14:textId="77777777" w:rsidR="00F264B0" w:rsidRPr="00F264B0" w:rsidRDefault="00F264B0" w:rsidP="00F264B0">
            <w:pPr>
              <w:jc w:val="center"/>
              <w:rPr>
                <w:rFonts w:cs="Arial"/>
                <w:color w:val="000000"/>
                <w:sz w:val="18"/>
                <w:szCs w:val="18"/>
                <w:lang w:eastAsia="en-GB"/>
              </w:rPr>
            </w:pPr>
          </w:p>
        </w:tc>
        <w:tc>
          <w:tcPr>
            <w:tcW w:w="1201" w:type="dxa"/>
            <w:vMerge/>
            <w:tcBorders>
              <w:top w:val="nil"/>
              <w:left w:val="single" w:sz="8" w:space="0" w:color="auto"/>
              <w:bottom w:val="single" w:sz="8" w:space="0" w:color="000000"/>
              <w:right w:val="single" w:sz="8" w:space="0" w:color="auto"/>
            </w:tcBorders>
            <w:shd w:val="clear" w:color="auto" w:fill="auto"/>
            <w:vAlign w:val="center"/>
            <w:hideMark/>
          </w:tcPr>
          <w:p w14:paraId="3E6D1E73" w14:textId="77777777" w:rsidR="00F264B0" w:rsidRPr="00F264B0" w:rsidRDefault="00F264B0" w:rsidP="00F264B0">
            <w:pPr>
              <w:rPr>
                <w:rFonts w:cs="Arial"/>
                <w:color w:val="000000"/>
                <w:sz w:val="18"/>
                <w:szCs w:val="18"/>
                <w:lang w:eastAsia="en-GB"/>
              </w:rPr>
            </w:pPr>
          </w:p>
        </w:tc>
        <w:tc>
          <w:tcPr>
            <w:tcW w:w="2173" w:type="dxa"/>
            <w:vMerge/>
            <w:tcBorders>
              <w:top w:val="nil"/>
              <w:left w:val="single" w:sz="8" w:space="0" w:color="auto"/>
              <w:bottom w:val="single" w:sz="8" w:space="0" w:color="000000"/>
              <w:right w:val="single" w:sz="8" w:space="0" w:color="auto"/>
            </w:tcBorders>
            <w:shd w:val="clear" w:color="auto" w:fill="auto"/>
            <w:vAlign w:val="center"/>
            <w:hideMark/>
          </w:tcPr>
          <w:p w14:paraId="7B3602CF" w14:textId="77777777" w:rsidR="00F264B0" w:rsidRPr="00F264B0" w:rsidRDefault="00F264B0" w:rsidP="00F264B0">
            <w:pPr>
              <w:rPr>
                <w:rFonts w:cs="Arial"/>
                <w:color w:val="000000"/>
                <w:sz w:val="18"/>
                <w:szCs w:val="18"/>
                <w:lang w:eastAsia="en-GB"/>
              </w:rPr>
            </w:pPr>
          </w:p>
        </w:tc>
        <w:tc>
          <w:tcPr>
            <w:tcW w:w="1971" w:type="dxa"/>
            <w:tcBorders>
              <w:top w:val="nil"/>
              <w:left w:val="nil"/>
              <w:bottom w:val="single" w:sz="8" w:space="0" w:color="auto"/>
              <w:right w:val="single" w:sz="8" w:space="0" w:color="auto"/>
            </w:tcBorders>
            <w:shd w:val="clear" w:color="auto" w:fill="auto"/>
            <w:vAlign w:val="center"/>
            <w:hideMark/>
          </w:tcPr>
          <w:p w14:paraId="6216AF4A" w14:textId="77777777" w:rsidR="00F264B0" w:rsidRPr="00F264B0" w:rsidRDefault="00F264B0" w:rsidP="00F264B0">
            <w:pPr>
              <w:jc w:val="right"/>
              <w:rPr>
                <w:rFonts w:cs="Arial"/>
                <w:color w:val="000000"/>
                <w:sz w:val="18"/>
                <w:szCs w:val="18"/>
                <w:lang w:eastAsia="en-GB"/>
              </w:rPr>
            </w:pPr>
          </w:p>
        </w:tc>
      </w:tr>
      <w:tr w:rsidR="00F264B0" w:rsidRPr="00F264B0" w14:paraId="13346F64" w14:textId="77777777" w:rsidTr="00EF6A7D">
        <w:trPr>
          <w:trHeight w:val="405"/>
        </w:trPr>
        <w:tc>
          <w:tcPr>
            <w:tcW w:w="2881" w:type="dxa"/>
            <w:tcBorders>
              <w:top w:val="nil"/>
              <w:left w:val="single" w:sz="8" w:space="0" w:color="auto"/>
              <w:bottom w:val="single" w:sz="4" w:space="0" w:color="auto"/>
              <w:right w:val="single" w:sz="8" w:space="0" w:color="auto"/>
            </w:tcBorders>
            <w:shd w:val="pct12" w:color="auto" w:fill="auto"/>
            <w:vAlign w:val="center"/>
            <w:hideMark/>
          </w:tcPr>
          <w:p w14:paraId="58B5F140" w14:textId="77777777" w:rsidR="00F264B0" w:rsidRPr="00F264B0" w:rsidRDefault="00F264B0" w:rsidP="00F264B0">
            <w:pPr>
              <w:rPr>
                <w:rFonts w:cs="Arial"/>
                <w:b/>
                <w:bCs/>
                <w:color w:val="000000"/>
                <w:sz w:val="18"/>
                <w:szCs w:val="18"/>
                <w:lang w:eastAsia="en-GB"/>
              </w:rPr>
            </w:pPr>
            <w:r w:rsidRPr="00F264B0">
              <w:rPr>
                <w:rFonts w:cs="Arial"/>
                <w:b/>
                <w:bCs/>
                <w:color w:val="000000"/>
                <w:sz w:val="18"/>
                <w:szCs w:val="18"/>
                <w:lang w:eastAsia="en-GB"/>
              </w:rPr>
              <w:t>Printing inks</w:t>
            </w:r>
          </w:p>
        </w:tc>
        <w:tc>
          <w:tcPr>
            <w:tcW w:w="846" w:type="dxa"/>
            <w:tcBorders>
              <w:top w:val="nil"/>
              <w:left w:val="single" w:sz="8" w:space="0" w:color="auto"/>
              <w:bottom w:val="single" w:sz="4" w:space="0" w:color="auto"/>
              <w:right w:val="single" w:sz="8" w:space="0" w:color="auto"/>
            </w:tcBorders>
            <w:shd w:val="pct12" w:color="auto" w:fill="auto"/>
            <w:vAlign w:val="center"/>
            <w:hideMark/>
          </w:tcPr>
          <w:p w14:paraId="56F51504" w14:textId="77777777" w:rsidR="00F264B0" w:rsidRPr="00F264B0" w:rsidRDefault="00F264B0" w:rsidP="00F264B0">
            <w:pPr>
              <w:jc w:val="center"/>
              <w:rPr>
                <w:rFonts w:cs="Arial"/>
                <w:color w:val="000000"/>
                <w:sz w:val="18"/>
                <w:szCs w:val="18"/>
                <w:lang w:eastAsia="en-GB"/>
              </w:rPr>
            </w:pPr>
            <w:r w:rsidRPr="00F264B0">
              <w:rPr>
                <w:rFonts w:cs="Arial"/>
                <w:color w:val="000000"/>
                <w:sz w:val="18"/>
                <w:szCs w:val="18"/>
                <w:lang w:eastAsia="en-GB"/>
              </w:rPr>
              <w:t>&lt;4%</w:t>
            </w:r>
          </w:p>
        </w:tc>
        <w:tc>
          <w:tcPr>
            <w:tcW w:w="1201" w:type="dxa"/>
            <w:tcBorders>
              <w:top w:val="nil"/>
              <w:left w:val="nil"/>
              <w:bottom w:val="single" w:sz="4" w:space="0" w:color="auto"/>
              <w:right w:val="single" w:sz="8" w:space="0" w:color="auto"/>
            </w:tcBorders>
            <w:shd w:val="pct12" w:color="auto" w:fill="auto"/>
            <w:vAlign w:val="center"/>
            <w:hideMark/>
          </w:tcPr>
          <w:p w14:paraId="13342275" w14:textId="77777777" w:rsidR="00F264B0" w:rsidRPr="00F264B0" w:rsidRDefault="00F264B0" w:rsidP="00F264B0">
            <w:pPr>
              <w:jc w:val="center"/>
              <w:rPr>
                <w:rFonts w:cs="Arial"/>
                <w:color w:val="000000"/>
                <w:sz w:val="18"/>
                <w:szCs w:val="18"/>
                <w:lang w:eastAsia="en-GB"/>
              </w:rPr>
            </w:pPr>
            <w:r w:rsidRPr="00F264B0">
              <w:rPr>
                <w:rFonts w:cs="Arial"/>
                <w:color w:val="000000"/>
                <w:sz w:val="18"/>
                <w:szCs w:val="18"/>
                <w:lang w:eastAsia="en-GB"/>
              </w:rPr>
              <w:t> 5155</w:t>
            </w:r>
          </w:p>
        </w:tc>
        <w:tc>
          <w:tcPr>
            <w:tcW w:w="2173" w:type="dxa"/>
            <w:tcBorders>
              <w:top w:val="nil"/>
              <w:left w:val="nil"/>
              <w:bottom w:val="single" w:sz="4" w:space="0" w:color="auto"/>
              <w:right w:val="single" w:sz="8" w:space="0" w:color="auto"/>
            </w:tcBorders>
            <w:shd w:val="pct12" w:color="auto" w:fill="auto"/>
            <w:vAlign w:val="center"/>
            <w:hideMark/>
          </w:tcPr>
          <w:p w14:paraId="521A9A79" w14:textId="77777777" w:rsidR="00F264B0" w:rsidRPr="00F264B0" w:rsidRDefault="00F264B0" w:rsidP="00F264B0">
            <w:pPr>
              <w:jc w:val="center"/>
              <w:rPr>
                <w:rFonts w:cs="Arial"/>
                <w:color w:val="000000"/>
                <w:sz w:val="18"/>
                <w:szCs w:val="18"/>
                <w:lang w:eastAsia="en-GB"/>
              </w:rPr>
            </w:pPr>
            <w:r w:rsidRPr="00F264B0">
              <w:rPr>
                <w:rFonts w:cs="Arial"/>
                <w:color w:val="000000"/>
                <w:sz w:val="18"/>
                <w:szCs w:val="18"/>
                <w:lang w:eastAsia="en-GB"/>
              </w:rPr>
              <w:t> 2 (11.2%)</w:t>
            </w:r>
          </w:p>
        </w:tc>
        <w:tc>
          <w:tcPr>
            <w:tcW w:w="1971" w:type="dxa"/>
            <w:tcBorders>
              <w:top w:val="nil"/>
              <w:left w:val="nil"/>
              <w:bottom w:val="single" w:sz="4" w:space="0" w:color="auto"/>
              <w:right w:val="single" w:sz="8" w:space="0" w:color="auto"/>
            </w:tcBorders>
            <w:shd w:val="pct12" w:color="auto" w:fill="auto"/>
            <w:vAlign w:val="center"/>
            <w:hideMark/>
          </w:tcPr>
          <w:p w14:paraId="61A50818" w14:textId="77777777" w:rsidR="00F264B0" w:rsidRPr="00F264B0" w:rsidRDefault="00F264B0" w:rsidP="00F264B0">
            <w:pPr>
              <w:rPr>
                <w:rFonts w:cs="Arial"/>
                <w:color w:val="000000"/>
                <w:sz w:val="18"/>
                <w:szCs w:val="18"/>
                <w:lang w:eastAsia="en-GB"/>
              </w:rPr>
            </w:pPr>
            <w:r w:rsidRPr="00F264B0">
              <w:rPr>
                <w:rFonts w:cs="Arial"/>
                <w:color w:val="000000"/>
                <w:sz w:val="18"/>
                <w:szCs w:val="18"/>
                <w:lang w:eastAsia="en-GB"/>
              </w:rPr>
              <w:t>Little, S. (2014c)</w:t>
            </w:r>
          </w:p>
        </w:tc>
      </w:tr>
      <w:tr w:rsidR="00F264B0" w:rsidRPr="00F264B0" w14:paraId="3E57BB26" w14:textId="77777777" w:rsidTr="00EF6A7D">
        <w:trPr>
          <w:trHeight w:val="315"/>
        </w:trPr>
        <w:tc>
          <w:tcPr>
            <w:tcW w:w="2881" w:type="dxa"/>
            <w:tcBorders>
              <w:top w:val="single" w:sz="4" w:space="0" w:color="auto"/>
              <w:left w:val="single" w:sz="4" w:space="0" w:color="auto"/>
              <w:right w:val="single" w:sz="4" w:space="0" w:color="auto"/>
            </w:tcBorders>
            <w:shd w:val="clear" w:color="auto" w:fill="auto"/>
            <w:vAlign w:val="center"/>
            <w:hideMark/>
          </w:tcPr>
          <w:p w14:paraId="5DA20DAB" w14:textId="77777777" w:rsidR="00F264B0" w:rsidRPr="00F264B0" w:rsidRDefault="00F264B0" w:rsidP="00F264B0">
            <w:pPr>
              <w:rPr>
                <w:rFonts w:cs="Arial"/>
                <w:b/>
                <w:bCs/>
                <w:color w:val="000000"/>
                <w:sz w:val="18"/>
                <w:szCs w:val="18"/>
                <w:lang w:eastAsia="en-GB"/>
              </w:rPr>
            </w:pPr>
            <w:r w:rsidRPr="00F264B0">
              <w:rPr>
                <w:rFonts w:cs="Arial"/>
                <w:b/>
                <w:bCs/>
                <w:color w:val="000000"/>
                <w:sz w:val="18"/>
                <w:szCs w:val="18"/>
                <w:lang w:eastAsia="en-GB"/>
              </w:rPr>
              <w:t>Raw material manufacture</w:t>
            </w:r>
          </w:p>
        </w:tc>
        <w:tc>
          <w:tcPr>
            <w:tcW w:w="846" w:type="dxa"/>
            <w:tcBorders>
              <w:top w:val="single" w:sz="4" w:space="0" w:color="auto"/>
              <w:left w:val="single" w:sz="4" w:space="0" w:color="auto"/>
              <w:right w:val="single" w:sz="4" w:space="0" w:color="auto"/>
            </w:tcBorders>
            <w:shd w:val="clear" w:color="auto" w:fill="auto"/>
            <w:vAlign w:val="center"/>
            <w:hideMark/>
          </w:tcPr>
          <w:p w14:paraId="2CF337C2" w14:textId="77777777" w:rsidR="00F264B0" w:rsidRPr="00F264B0" w:rsidRDefault="00F264B0" w:rsidP="00F264B0">
            <w:pPr>
              <w:jc w:val="center"/>
              <w:rPr>
                <w:rFonts w:cs="Arial"/>
                <w:color w:val="000000"/>
                <w:sz w:val="18"/>
                <w:szCs w:val="18"/>
                <w:lang w:eastAsia="en-GB"/>
              </w:rPr>
            </w:pPr>
          </w:p>
        </w:tc>
        <w:tc>
          <w:tcPr>
            <w:tcW w:w="1201" w:type="dxa"/>
            <w:tcBorders>
              <w:top w:val="single" w:sz="4" w:space="0" w:color="auto"/>
              <w:left w:val="single" w:sz="4" w:space="0" w:color="auto"/>
              <w:right w:val="single" w:sz="4" w:space="0" w:color="auto"/>
            </w:tcBorders>
            <w:shd w:val="clear" w:color="auto" w:fill="auto"/>
            <w:vAlign w:val="center"/>
            <w:hideMark/>
          </w:tcPr>
          <w:p w14:paraId="09AED0C4" w14:textId="77777777" w:rsidR="00F264B0" w:rsidRPr="00F264B0" w:rsidRDefault="00F264B0" w:rsidP="00F264B0">
            <w:pPr>
              <w:jc w:val="center"/>
              <w:rPr>
                <w:rFonts w:cs="Arial"/>
                <w:color w:val="000000"/>
                <w:sz w:val="18"/>
                <w:szCs w:val="18"/>
                <w:lang w:eastAsia="en-GB"/>
              </w:rPr>
            </w:pPr>
          </w:p>
        </w:tc>
        <w:tc>
          <w:tcPr>
            <w:tcW w:w="2173" w:type="dxa"/>
            <w:tcBorders>
              <w:top w:val="single" w:sz="4" w:space="0" w:color="auto"/>
              <w:left w:val="single" w:sz="4" w:space="0" w:color="auto"/>
              <w:right w:val="single" w:sz="4" w:space="0" w:color="auto"/>
            </w:tcBorders>
            <w:shd w:val="clear" w:color="auto" w:fill="auto"/>
            <w:vAlign w:val="center"/>
            <w:hideMark/>
          </w:tcPr>
          <w:p w14:paraId="128BA707" w14:textId="77777777" w:rsidR="00F264B0" w:rsidRPr="00F264B0" w:rsidRDefault="00F264B0" w:rsidP="00F264B0">
            <w:pPr>
              <w:jc w:val="center"/>
              <w:rPr>
                <w:rFonts w:cs="Arial"/>
                <w:color w:val="000000"/>
                <w:sz w:val="18"/>
                <w:szCs w:val="18"/>
                <w:lang w:eastAsia="en-GB"/>
              </w:rPr>
            </w:pPr>
          </w:p>
        </w:tc>
        <w:tc>
          <w:tcPr>
            <w:tcW w:w="1971" w:type="dxa"/>
            <w:tcBorders>
              <w:top w:val="single" w:sz="4" w:space="0" w:color="auto"/>
              <w:left w:val="single" w:sz="4" w:space="0" w:color="auto"/>
              <w:right w:val="single" w:sz="4" w:space="0" w:color="auto"/>
            </w:tcBorders>
            <w:shd w:val="clear" w:color="auto" w:fill="auto"/>
            <w:vAlign w:val="center"/>
            <w:hideMark/>
          </w:tcPr>
          <w:p w14:paraId="12937763" w14:textId="77777777" w:rsidR="00F264B0" w:rsidRPr="00F264B0" w:rsidRDefault="00F264B0" w:rsidP="00F264B0">
            <w:pPr>
              <w:jc w:val="center"/>
              <w:rPr>
                <w:rFonts w:cs="Arial"/>
                <w:color w:val="000000"/>
                <w:sz w:val="18"/>
                <w:szCs w:val="18"/>
                <w:lang w:eastAsia="en-GB"/>
              </w:rPr>
            </w:pPr>
          </w:p>
        </w:tc>
      </w:tr>
      <w:tr w:rsidR="00F264B0" w:rsidRPr="00F264B0" w14:paraId="0EA8F422" w14:textId="77777777" w:rsidTr="00EF6A7D">
        <w:trPr>
          <w:trHeight w:val="300"/>
        </w:trPr>
        <w:tc>
          <w:tcPr>
            <w:tcW w:w="2881" w:type="dxa"/>
            <w:tcBorders>
              <w:left w:val="single" w:sz="4" w:space="0" w:color="auto"/>
              <w:bottom w:val="nil"/>
              <w:right w:val="single" w:sz="4" w:space="0" w:color="auto"/>
            </w:tcBorders>
            <w:shd w:val="clear" w:color="auto" w:fill="auto"/>
            <w:vAlign w:val="center"/>
            <w:hideMark/>
          </w:tcPr>
          <w:p w14:paraId="46B384C2" w14:textId="77777777" w:rsidR="00F264B0" w:rsidRPr="00F264B0" w:rsidRDefault="00F264B0" w:rsidP="00F264B0">
            <w:pPr>
              <w:rPr>
                <w:rFonts w:cs="Arial"/>
                <w:color w:val="000000"/>
                <w:sz w:val="18"/>
                <w:szCs w:val="18"/>
                <w:lang w:eastAsia="en-GB"/>
              </w:rPr>
            </w:pPr>
            <w:r w:rsidRPr="00F264B0">
              <w:rPr>
                <w:rFonts w:eastAsia="Symbol" w:cs="Arial"/>
                <w:color w:val="000000"/>
                <w:sz w:val="18"/>
                <w:szCs w:val="18"/>
                <w:lang w:eastAsia="en-GB"/>
              </w:rPr>
              <w:t>Synthetic resin and synthetic rubber</w:t>
            </w:r>
          </w:p>
        </w:tc>
        <w:tc>
          <w:tcPr>
            <w:tcW w:w="846" w:type="dxa"/>
            <w:vMerge w:val="restart"/>
            <w:tcBorders>
              <w:left w:val="single" w:sz="4" w:space="0" w:color="auto"/>
              <w:right w:val="single" w:sz="4" w:space="0" w:color="auto"/>
            </w:tcBorders>
            <w:shd w:val="clear" w:color="auto" w:fill="auto"/>
            <w:vAlign w:val="center"/>
            <w:hideMark/>
          </w:tcPr>
          <w:p w14:paraId="6FF8EC27" w14:textId="77777777" w:rsidR="00F264B0" w:rsidRPr="00F264B0" w:rsidRDefault="00F264B0" w:rsidP="00F264B0">
            <w:pPr>
              <w:jc w:val="center"/>
              <w:rPr>
                <w:rFonts w:cs="Arial"/>
                <w:color w:val="000000"/>
                <w:sz w:val="18"/>
                <w:szCs w:val="18"/>
                <w:lang w:eastAsia="en-GB"/>
              </w:rPr>
            </w:pPr>
            <w:r w:rsidRPr="00F264B0">
              <w:rPr>
                <w:rFonts w:cs="Arial"/>
                <w:color w:val="000000"/>
                <w:sz w:val="18"/>
                <w:szCs w:val="18"/>
                <w:lang w:eastAsia="en-GB"/>
              </w:rPr>
              <w:t>&lt;4%</w:t>
            </w:r>
          </w:p>
        </w:tc>
        <w:tc>
          <w:tcPr>
            <w:tcW w:w="1201" w:type="dxa"/>
            <w:vMerge w:val="restart"/>
            <w:tcBorders>
              <w:left w:val="single" w:sz="4" w:space="0" w:color="auto"/>
              <w:bottom w:val="single" w:sz="8" w:space="0" w:color="000000"/>
              <w:right w:val="single" w:sz="8" w:space="0" w:color="auto"/>
            </w:tcBorders>
            <w:shd w:val="clear" w:color="auto" w:fill="auto"/>
            <w:vAlign w:val="center"/>
            <w:hideMark/>
          </w:tcPr>
          <w:p w14:paraId="3B8880AA" w14:textId="77777777" w:rsidR="00F264B0" w:rsidRPr="00F264B0" w:rsidRDefault="00F264B0" w:rsidP="00F264B0">
            <w:pPr>
              <w:jc w:val="center"/>
              <w:rPr>
                <w:rFonts w:cs="Arial"/>
                <w:color w:val="000000"/>
                <w:sz w:val="18"/>
                <w:szCs w:val="18"/>
                <w:lang w:eastAsia="en-GB"/>
              </w:rPr>
            </w:pPr>
            <w:r w:rsidRPr="00F264B0">
              <w:rPr>
                <w:rFonts w:cs="Arial"/>
                <w:color w:val="000000"/>
                <w:sz w:val="18"/>
                <w:szCs w:val="18"/>
                <w:lang w:eastAsia="en-GB"/>
              </w:rPr>
              <w:t>55</w:t>
            </w:r>
          </w:p>
        </w:tc>
        <w:tc>
          <w:tcPr>
            <w:tcW w:w="2173" w:type="dxa"/>
            <w:vMerge w:val="restart"/>
            <w:tcBorders>
              <w:left w:val="single" w:sz="8" w:space="0" w:color="auto"/>
              <w:bottom w:val="single" w:sz="8" w:space="0" w:color="000000"/>
              <w:right w:val="single" w:sz="8" w:space="0" w:color="auto"/>
            </w:tcBorders>
            <w:shd w:val="clear" w:color="auto" w:fill="auto"/>
            <w:vAlign w:val="center"/>
            <w:hideMark/>
          </w:tcPr>
          <w:p w14:paraId="7EBCD431" w14:textId="77777777" w:rsidR="00F264B0" w:rsidRPr="00F264B0" w:rsidRDefault="00F264B0" w:rsidP="00F264B0">
            <w:pPr>
              <w:jc w:val="center"/>
              <w:rPr>
                <w:rFonts w:cs="Arial"/>
                <w:color w:val="000000"/>
                <w:sz w:val="18"/>
                <w:szCs w:val="18"/>
                <w:lang w:eastAsia="en-GB"/>
              </w:rPr>
            </w:pPr>
            <w:r w:rsidRPr="00F264B0">
              <w:rPr>
                <w:rFonts w:cs="Arial"/>
                <w:color w:val="000000"/>
                <w:sz w:val="18"/>
                <w:szCs w:val="18"/>
                <w:lang w:eastAsia="en-GB"/>
              </w:rPr>
              <w:t>2 (25.4%)</w:t>
            </w:r>
          </w:p>
        </w:tc>
        <w:tc>
          <w:tcPr>
            <w:tcW w:w="1971" w:type="dxa"/>
            <w:tcBorders>
              <w:left w:val="nil"/>
              <w:bottom w:val="nil"/>
              <w:right w:val="single" w:sz="4" w:space="0" w:color="auto"/>
            </w:tcBorders>
            <w:shd w:val="clear" w:color="auto" w:fill="auto"/>
            <w:vAlign w:val="center"/>
            <w:hideMark/>
          </w:tcPr>
          <w:p w14:paraId="2D256539" w14:textId="77777777" w:rsidR="00F264B0" w:rsidRPr="00F264B0" w:rsidRDefault="00F264B0" w:rsidP="00F264B0">
            <w:pPr>
              <w:rPr>
                <w:rFonts w:cs="Arial"/>
                <w:color w:val="000000"/>
                <w:sz w:val="18"/>
                <w:szCs w:val="18"/>
                <w:lang w:eastAsia="en-GB"/>
              </w:rPr>
            </w:pPr>
            <w:r w:rsidRPr="00F264B0">
              <w:rPr>
                <w:rFonts w:cs="Arial"/>
                <w:color w:val="000000"/>
                <w:sz w:val="18"/>
                <w:szCs w:val="18"/>
                <w:lang w:eastAsia="en-GB"/>
              </w:rPr>
              <w:t>Richardson, A. (2014b)</w:t>
            </w:r>
          </w:p>
        </w:tc>
      </w:tr>
      <w:tr w:rsidR="00F264B0" w:rsidRPr="00F264B0" w14:paraId="0DDE1A77" w14:textId="77777777" w:rsidTr="00EF6A7D">
        <w:trPr>
          <w:trHeight w:val="315"/>
        </w:trPr>
        <w:tc>
          <w:tcPr>
            <w:tcW w:w="2881" w:type="dxa"/>
            <w:tcBorders>
              <w:top w:val="nil"/>
              <w:left w:val="single" w:sz="4" w:space="0" w:color="auto"/>
              <w:bottom w:val="single" w:sz="4" w:space="0" w:color="auto"/>
              <w:right w:val="single" w:sz="4" w:space="0" w:color="auto"/>
            </w:tcBorders>
            <w:shd w:val="clear" w:color="auto" w:fill="auto"/>
            <w:vAlign w:val="center"/>
            <w:hideMark/>
          </w:tcPr>
          <w:p w14:paraId="02AA6737" w14:textId="77777777" w:rsidR="00F264B0" w:rsidRPr="00F264B0" w:rsidRDefault="00F264B0" w:rsidP="00F264B0">
            <w:pPr>
              <w:ind w:firstLineChars="300" w:firstLine="540"/>
              <w:rPr>
                <w:rFonts w:cs="Arial"/>
                <w:color w:val="0000FF"/>
                <w:sz w:val="18"/>
                <w:szCs w:val="18"/>
                <w:u w:val="single"/>
                <w:lang w:eastAsia="en-GB"/>
              </w:rPr>
            </w:pPr>
          </w:p>
        </w:tc>
        <w:tc>
          <w:tcPr>
            <w:tcW w:w="846" w:type="dxa"/>
            <w:vMerge/>
            <w:tcBorders>
              <w:top w:val="nil"/>
              <w:left w:val="single" w:sz="4" w:space="0" w:color="auto"/>
              <w:bottom w:val="single" w:sz="4" w:space="0" w:color="auto"/>
              <w:right w:val="single" w:sz="4" w:space="0" w:color="auto"/>
            </w:tcBorders>
            <w:shd w:val="clear" w:color="auto" w:fill="auto"/>
            <w:vAlign w:val="center"/>
            <w:hideMark/>
          </w:tcPr>
          <w:p w14:paraId="5E46588F" w14:textId="77777777" w:rsidR="00F264B0" w:rsidRPr="00F264B0" w:rsidRDefault="00F264B0" w:rsidP="00F264B0">
            <w:pPr>
              <w:rPr>
                <w:rFonts w:cs="Arial"/>
                <w:color w:val="000000"/>
                <w:sz w:val="18"/>
                <w:szCs w:val="18"/>
                <w:lang w:eastAsia="en-GB"/>
              </w:rPr>
            </w:pPr>
          </w:p>
        </w:tc>
        <w:tc>
          <w:tcPr>
            <w:tcW w:w="1201" w:type="dxa"/>
            <w:vMerge/>
            <w:tcBorders>
              <w:top w:val="nil"/>
              <w:left w:val="single" w:sz="4" w:space="0" w:color="auto"/>
              <w:bottom w:val="single" w:sz="4" w:space="0" w:color="auto"/>
              <w:right w:val="single" w:sz="8" w:space="0" w:color="auto"/>
            </w:tcBorders>
            <w:shd w:val="clear" w:color="auto" w:fill="auto"/>
            <w:vAlign w:val="center"/>
            <w:hideMark/>
          </w:tcPr>
          <w:p w14:paraId="4BC04CE7" w14:textId="77777777" w:rsidR="00F264B0" w:rsidRPr="00F264B0" w:rsidRDefault="00F264B0" w:rsidP="00F264B0">
            <w:pPr>
              <w:rPr>
                <w:rFonts w:cs="Arial"/>
                <w:color w:val="000000"/>
                <w:sz w:val="18"/>
                <w:szCs w:val="18"/>
                <w:lang w:eastAsia="en-GB"/>
              </w:rPr>
            </w:pPr>
          </w:p>
        </w:tc>
        <w:tc>
          <w:tcPr>
            <w:tcW w:w="2173" w:type="dxa"/>
            <w:vMerge/>
            <w:tcBorders>
              <w:top w:val="nil"/>
              <w:left w:val="single" w:sz="8" w:space="0" w:color="auto"/>
              <w:bottom w:val="single" w:sz="4" w:space="0" w:color="auto"/>
              <w:right w:val="single" w:sz="8" w:space="0" w:color="auto"/>
            </w:tcBorders>
            <w:shd w:val="clear" w:color="auto" w:fill="auto"/>
            <w:vAlign w:val="center"/>
            <w:hideMark/>
          </w:tcPr>
          <w:p w14:paraId="2B531A6D" w14:textId="77777777" w:rsidR="00F264B0" w:rsidRPr="00F264B0" w:rsidRDefault="00F264B0" w:rsidP="00F264B0">
            <w:pPr>
              <w:rPr>
                <w:rFonts w:cs="Arial"/>
                <w:color w:val="000000"/>
                <w:sz w:val="18"/>
                <w:szCs w:val="18"/>
                <w:lang w:eastAsia="en-GB"/>
              </w:rPr>
            </w:pPr>
          </w:p>
        </w:tc>
        <w:tc>
          <w:tcPr>
            <w:tcW w:w="1971" w:type="dxa"/>
            <w:tcBorders>
              <w:top w:val="nil"/>
              <w:left w:val="nil"/>
              <w:bottom w:val="single" w:sz="4" w:space="0" w:color="auto"/>
              <w:right w:val="single" w:sz="4" w:space="0" w:color="auto"/>
            </w:tcBorders>
            <w:shd w:val="clear" w:color="auto" w:fill="auto"/>
            <w:vAlign w:val="center"/>
            <w:hideMark/>
          </w:tcPr>
          <w:p w14:paraId="2E299FA4" w14:textId="77777777" w:rsidR="00F264B0" w:rsidRPr="00F264B0" w:rsidRDefault="00F264B0" w:rsidP="00F264B0">
            <w:pPr>
              <w:jc w:val="right"/>
              <w:rPr>
                <w:rFonts w:cs="Arial"/>
                <w:color w:val="000000"/>
                <w:sz w:val="18"/>
                <w:szCs w:val="18"/>
                <w:lang w:eastAsia="en-GB"/>
              </w:rPr>
            </w:pPr>
          </w:p>
        </w:tc>
      </w:tr>
    </w:tbl>
    <w:p w14:paraId="1CAA1070" w14:textId="77777777" w:rsidR="00F264B0" w:rsidRPr="00F264B0" w:rsidRDefault="00F264B0" w:rsidP="00F264B0">
      <w:pPr>
        <w:keepNext/>
        <w:widowControl/>
        <w:spacing w:before="240" w:after="240"/>
        <w:ind w:left="851" w:hanging="851"/>
        <w:outlineLvl w:val="1"/>
        <w:rPr>
          <w:rFonts w:eastAsiaTheme="majorEastAsia" w:cs="Arial"/>
          <w:b/>
          <w:bCs/>
          <w:sz w:val="28"/>
          <w:szCs w:val="22"/>
          <w:lang w:bidi="ar-SA"/>
        </w:rPr>
      </w:pPr>
      <w:r w:rsidRPr="00F264B0">
        <w:rPr>
          <w:rFonts w:eastAsiaTheme="majorEastAsia" w:cs="Arial"/>
          <w:b/>
          <w:bCs/>
          <w:sz w:val="28"/>
          <w:szCs w:val="22"/>
          <w:lang w:bidi="ar-SA"/>
        </w:rPr>
        <w:t>References</w:t>
      </w:r>
    </w:p>
    <w:p w14:paraId="43455DEC" w14:textId="77777777" w:rsidR="00F264B0" w:rsidRPr="00F264B0" w:rsidRDefault="00F264B0" w:rsidP="00F264B0">
      <w:pPr>
        <w:rPr>
          <w:rFonts w:cs="Arial"/>
          <w:color w:val="000000"/>
          <w:sz w:val="20"/>
          <w:lang w:eastAsia="en-GB"/>
        </w:rPr>
      </w:pPr>
      <w:r w:rsidRPr="00F264B0">
        <w:rPr>
          <w:rFonts w:cs="Arial"/>
          <w:color w:val="000000"/>
          <w:sz w:val="20"/>
          <w:lang w:eastAsia="en-GB"/>
        </w:rPr>
        <w:t>Anning, J. (2014a)</w:t>
      </w:r>
      <w:r w:rsidRPr="00F264B0">
        <w:rPr>
          <w:sz w:val="20"/>
        </w:rPr>
        <w:t xml:space="preserve"> </w:t>
      </w:r>
      <w:r w:rsidRPr="00F264B0">
        <w:rPr>
          <w:rFonts w:cs="Arial"/>
          <w:color w:val="000000"/>
          <w:sz w:val="20"/>
          <w:lang w:eastAsia="en-GB"/>
        </w:rPr>
        <w:t>Pulp, Paper and Paperboard Manufacturing in Australia. IBISWorld Industry Report C1510.</w:t>
      </w:r>
    </w:p>
    <w:p w14:paraId="5730FA47" w14:textId="77777777" w:rsidR="00F264B0" w:rsidRPr="00F264B0" w:rsidRDefault="00F264B0" w:rsidP="00F264B0">
      <w:pPr>
        <w:rPr>
          <w:rFonts w:cs="Arial"/>
          <w:color w:val="000000"/>
          <w:sz w:val="20"/>
          <w:lang w:eastAsia="en-GB"/>
        </w:rPr>
      </w:pPr>
      <w:r w:rsidRPr="00F264B0">
        <w:rPr>
          <w:rFonts w:cs="Arial"/>
          <w:color w:val="000000"/>
          <w:sz w:val="20"/>
          <w:lang w:eastAsia="en-GB"/>
        </w:rPr>
        <w:t xml:space="preserve">Anning, J. (2014b) Paperboard Container Manufacturing in Australia. IBISWorld Industry Report C1521a.  </w:t>
      </w:r>
      <w:r w:rsidRPr="00F264B0">
        <w:rPr>
          <w:rFonts w:cs="Arial"/>
          <w:color w:val="000000"/>
          <w:sz w:val="20"/>
          <w:lang w:eastAsia="en-GB"/>
        </w:rPr>
        <w:br w:type="page"/>
      </w:r>
    </w:p>
    <w:p w14:paraId="0CFE63F1" w14:textId="77777777" w:rsidR="00F264B0" w:rsidRPr="00F264B0" w:rsidRDefault="00F264B0" w:rsidP="00F264B0">
      <w:pPr>
        <w:rPr>
          <w:rFonts w:cs="Arial"/>
          <w:color w:val="000000"/>
          <w:sz w:val="20"/>
          <w:lang w:eastAsia="en-GB"/>
        </w:rPr>
      </w:pPr>
      <w:r w:rsidRPr="00F264B0">
        <w:rPr>
          <w:rFonts w:cs="Arial"/>
          <w:color w:val="000000"/>
          <w:sz w:val="20"/>
          <w:lang w:eastAsia="en-GB"/>
        </w:rPr>
        <w:lastRenderedPageBreak/>
        <w:t>Gargano, S. (2014)  Paper Bag and Other Paper Product Manufacturing in Australia. IBIS World Industry Report C1528.</w:t>
      </w:r>
    </w:p>
    <w:p w14:paraId="164CC87B" w14:textId="77777777" w:rsidR="00F264B0" w:rsidRPr="00F264B0" w:rsidRDefault="00F264B0" w:rsidP="00F264B0">
      <w:pPr>
        <w:rPr>
          <w:rFonts w:cs="Arial"/>
          <w:color w:val="000000"/>
          <w:sz w:val="20"/>
          <w:lang w:eastAsia="en-GB"/>
        </w:rPr>
      </w:pPr>
    </w:p>
    <w:p w14:paraId="1AB3C571" w14:textId="77777777" w:rsidR="00F264B0" w:rsidRPr="00F264B0" w:rsidRDefault="00F264B0" w:rsidP="00F264B0">
      <w:pPr>
        <w:rPr>
          <w:rFonts w:cs="Arial"/>
          <w:color w:val="000000"/>
          <w:sz w:val="20"/>
          <w:lang w:eastAsia="en-GB"/>
        </w:rPr>
      </w:pPr>
      <w:r w:rsidRPr="00F264B0">
        <w:rPr>
          <w:rFonts w:cs="Arial"/>
          <w:color w:val="000000"/>
          <w:sz w:val="20"/>
          <w:lang w:eastAsia="en-GB"/>
        </w:rPr>
        <w:t>Ivanov, A. (2013) Corrugated Paperboard Container Manufacturing in Australia</w:t>
      </w:r>
    </w:p>
    <w:p w14:paraId="7DAA40B6" w14:textId="77777777" w:rsidR="00F264B0" w:rsidRPr="00F264B0" w:rsidRDefault="00F264B0" w:rsidP="00F264B0">
      <w:pPr>
        <w:rPr>
          <w:rFonts w:cs="Arial"/>
          <w:color w:val="000000"/>
          <w:sz w:val="20"/>
          <w:lang w:eastAsia="en-GB"/>
        </w:rPr>
      </w:pPr>
      <w:r w:rsidRPr="00F264B0">
        <w:rPr>
          <w:rFonts w:cs="Arial"/>
          <w:color w:val="000000"/>
          <w:sz w:val="20"/>
          <w:lang w:eastAsia="en-GB"/>
        </w:rPr>
        <w:t>IBISWorld Industry Report C1521b.</w:t>
      </w:r>
    </w:p>
    <w:p w14:paraId="07817CF5" w14:textId="77777777" w:rsidR="00F264B0" w:rsidRPr="00F264B0" w:rsidRDefault="00F264B0" w:rsidP="00F264B0">
      <w:pPr>
        <w:rPr>
          <w:rFonts w:cs="Arial"/>
          <w:color w:val="000000"/>
          <w:sz w:val="20"/>
          <w:lang w:eastAsia="en-GB"/>
        </w:rPr>
      </w:pPr>
    </w:p>
    <w:p w14:paraId="0DA379A1" w14:textId="77777777" w:rsidR="00F264B0" w:rsidRPr="00F264B0" w:rsidRDefault="00F264B0" w:rsidP="00F264B0">
      <w:pPr>
        <w:rPr>
          <w:rFonts w:cs="Arial"/>
          <w:color w:val="000000"/>
          <w:sz w:val="20"/>
          <w:lang w:eastAsia="en-GB"/>
        </w:rPr>
      </w:pPr>
      <w:r w:rsidRPr="00F264B0">
        <w:rPr>
          <w:rFonts w:cs="Arial"/>
          <w:color w:val="000000"/>
          <w:sz w:val="20"/>
          <w:lang w:eastAsia="en-GB"/>
        </w:rPr>
        <w:t xml:space="preserve">Kelly, A. (2013) Metal Drum, Can and Bin Manufacturing in Australia. IBISWorld Industry Report C2239. </w:t>
      </w:r>
    </w:p>
    <w:p w14:paraId="537DD8EC" w14:textId="77777777" w:rsidR="00F264B0" w:rsidRPr="00F264B0" w:rsidRDefault="00F264B0" w:rsidP="00F264B0">
      <w:pPr>
        <w:rPr>
          <w:rFonts w:cs="Arial"/>
          <w:color w:val="000000"/>
          <w:sz w:val="20"/>
          <w:lang w:eastAsia="en-GB"/>
        </w:rPr>
      </w:pPr>
    </w:p>
    <w:p w14:paraId="1DF7C1DC" w14:textId="77777777" w:rsidR="00F264B0" w:rsidRPr="00F264B0" w:rsidRDefault="00F264B0" w:rsidP="00F264B0">
      <w:pPr>
        <w:rPr>
          <w:rFonts w:cs="Arial"/>
          <w:color w:val="000000"/>
          <w:sz w:val="20"/>
          <w:lang w:eastAsia="en-GB"/>
        </w:rPr>
      </w:pPr>
      <w:r w:rsidRPr="00F264B0">
        <w:rPr>
          <w:rFonts w:cs="Arial"/>
          <w:color w:val="000000"/>
          <w:sz w:val="20"/>
          <w:lang w:eastAsia="en-GB"/>
        </w:rPr>
        <w:t>Kelly, A. (2014a) Sheet Metal Product Manufacturing in Australia. IBISWorld Industry Report C2240.</w:t>
      </w:r>
    </w:p>
    <w:p w14:paraId="44D4CC85" w14:textId="77777777" w:rsidR="00F264B0" w:rsidRPr="00F264B0" w:rsidRDefault="00F264B0" w:rsidP="00F264B0">
      <w:pPr>
        <w:rPr>
          <w:rFonts w:cs="Arial"/>
          <w:color w:val="000000"/>
          <w:sz w:val="20"/>
          <w:lang w:eastAsia="en-GB"/>
        </w:rPr>
      </w:pPr>
    </w:p>
    <w:p w14:paraId="32B6DB9D" w14:textId="77777777" w:rsidR="00F264B0" w:rsidRPr="00F264B0" w:rsidRDefault="00F264B0" w:rsidP="00F264B0">
      <w:pPr>
        <w:rPr>
          <w:rFonts w:cs="Arial"/>
          <w:color w:val="000000"/>
          <w:sz w:val="20"/>
          <w:lang w:eastAsia="en-GB"/>
        </w:rPr>
      </w:pPr>
      <w:r w:rsidRPr="00F264B0">
        <w:rPr>
          <w:rFonts w:cs="Arial"/>
          <w:color w:val="000000"/>
          <w:sz w:val="20"/>
          <w:lang w:eastAsia="en-GB"/>
        </w:rPr>
        <w:t>Kelly, A. (2014b) Glass and Glass Product Manufacturing in Australia. IBISWorld Industry Report C2010.</w:t>
      </w:r>
    </w:p>
    <w:p w14:paraId="2C13F2F3" w14:textId="77777777" w:rsidR="00F264B0" w:rsidRPr="00F264B0" w:rsidRDefault="00F264B0" w:rsidP="00F264B0">
      <w:pPr>
        <w:rPr>
          <w:rFonts w:cs="Arial"/>
          <w:color w:val="000000"/>
          <w:sz w:val="20"/>
          <w:lang w:eastAsia="en-GB"/>
        </w:rPr>
      </w:pPr>
    </w:p>
    <w:p w14:paraId="145C10BF" w14:textId="77777777" w:rsidR="00F264B0" w:rsidRPr="00F264B0" w:rsidRDefault="00F264B0" w:rsidP="00F264B0">
      <w:pPr>
        <w:rPr>
          <w:rFonts w:cs="Arial"/>
          <w:color w:val="000000"/>
          <w:sz w:val="20"/>
          <w:lang w:eastAsia="en-GB"/>
        </w:rPr>
      </w:pPr>
      <w:r w:rsidRPr="00F264B0">
        <w:rPr>
          <w:rFonts w:cs="Arial"/>
          <w:color w:val="000000"/>
          <w:sz w:val="20"/>
          <w:lang w:eastAsia="en-GB"/>
        </w:rPr>
        <w:t>Lin, R. (2013) Plastic Injection Moulded Product Manufacturing in Australia. IBISWorld Industry Report C1912b.</w:t>
      </w:r>
    </w:p>
    <w:p w14:paraId="2AFB3945" w14:textId="77777777" w:rsidR="00F264B0" w:rsidRPr="00F264B0" w:rsidRDefault="00F264B0" w:rsidP="00F264B0">
      <w:pPr>
        <w:rPr>
          <w:rFonts w:cs="Arial"/>
          <w:color w:val="000000"/>
          <w:sz w:val="20"/>
          <w:lang w:eastAsia="en-GB"/>
        </w:rPr>
      </w:pPr>
    </w:p>
    <w:p w14:paraId="02D0C34B" w14:textId="77777777" w:rsidR="00F264B0" w:rsidRPr="00F264B0" w:rsidRDefault="00F264B0" w:rsidP="00F264B0">
      <w:pPr>
        <w:rPr>
          <w:rFonts w:cs="Arial"/>
          <w:color w:val="000000"/>
          <w:sz w:val="20"/>
          <w:lang w:eastAsia="en-GB"/>
        </w:rPr>
      </w:pPr>
      <w:r w:rsidRPr="00F264B0">
        <w:rPr>
          <w:rFonts w:cs="Arial"/>
          <w:color w:val="000000"/>
          <w:sz w:val="20"/>
          <w:lang w:eastAsia="en-GB"/>
        </w:rPr>
        <w:t>Little, S. (2014a) Plastic Blow Moulded Product Manufacturing in Australia. IBISWorld Industry Report C1912a.</w:t>
      </w:r>
    </w:p>
    <w:p w14:paraId="1DE0C2B4" w14:textId="77777777" w:rsidR="00F264B0" w:rsidRPr="00F264B0" w:rsidRDefault="00F264B0" w:rsidP="00F264B0">
      <w:pPr>
        <w:rPr>
          <w:rFonts w:cs="Arial"/>
          <w:color w:val="000000"/>
          <w:sz w:val="20"/>
          <w:lang w:eastAsia="en-GB"/>
        </w:rPr>
      </w:pPr>
    </w:p>
    <w:p w14:paraId="529A3E8C" w14:textId="77777777" w:rsidR="00F264B0" w:rsidRPr="00F264B0" w:rsidRDefault="00F264B0" w:rsidP="00F264B0">
      <w:pPr>
        <w:rPr>
          <w:rFonts w:cs="Arial"/>
          <w:color w:val="000000"/>
          <w:sz w:val="20"/>
          <w:lang w:eastAsia="en-GB"/>
        </w:rPr>
      </w:pPr>
      <w:r w:rsidRPr="00F264B0">
        <w:rPr>
          <w:rFonts w:cs="Arial"/>
          <w:color w:val="000000"/>
          <w:sz w:val="20"/>
          <w:lang w:eastAsia="en-GB"/>
        </w:rPr>
        <w:t xml:space="preserve">Little, S. (2014b) Plastic Bag and Film Manufacturing in Australia. IBIS World Industry Report C1911. </w:t>
      </w:r>
    </w:p>
    <w:p w14:paraId="025E5276" w14:textId="77777777" w:rsidR="00F264B0" w:rsidRPr="00F264B0" w:rsidRDefault="00F264B0" w:rsidP="00F264B0">
      <w:pPr>
        <w:rPr>
          <w:rFonts w:cs="Arial"/>
          <w:color w:val="000000"/>
          <w:sz w:val="20"/>
          <w:lang w:eastAsia="en-GB"/>
        </w:rPr>
      </w:pPr>
    </w:p>
    <w:p w14:paraId="778E24EC" w14:textId="77777777" w:rsidR="00F264B0" w:rsidRPr="00F264B0" w:rsidRDefault="00F264B0" w:rsidP="00F264B0">
      <w:pPr>
        <w:rPr>
          <w:rFonts w:cs="Arial"/>
          <w:color w:val="000000"/>
          <w:sz w:val="20"/>
          <w:lang w:eastAsia="en-GB"/>
        </w:rPr>
      </w:pPr>
      <w:r w:rsidRPr="00F264B0">
        <w:rPr>
          <w:rFonts w:cs="Arial"/>
          <w:color w:val="000000"/>
          <w:sz w:val="20"/>
          <w:lang w:eastAsia="en-GB"/>
        </w:rPr>
        <w:t>Little, S. (2014c). Printing in Australia. IBISWorld Industry Report C1611.</w:t>
      </w:r>
    </w:p>
    <w:p w14:paraId="232B6A73" w14:textId="77777777" w:rsidR="00F264B0" w:rsidRPr="00F264B0" w:rsidRDefault="00F264B0" w:rsidP="00F264B0">
      <w:pPr>
        <w:rPr>
          <w:rFonts w:cs="Arial"/>
          <w:color w:val="000000"/>
          <w:sz w:val="20"/>
          <w:lang w:eastAsia="en-GB"/>
        </w:rPr>
      </w:pPr>
    </w:p>
    <w:p w14:paraId="539F79CB" w14:textId="77777777" w:rsidR="00F264B0" w:rsidRPr="00F264B0" w:rsidRDefault="00F264B0" w:rsidP="00F264B0">
      <w:pPr>
        <w:rPr>
          <w:rFonts w:cs="Arial"/>
          <w:color w:val="000000"/>
          <w:sz w:val="20"/>
          <w:lang w:eastAsia="en-GB"/>
        </w:rPr>
      </w:pPr>
      <w:r w:rsidRPr="00F264B0">
        <w:rPr>
          <w:rFonts w:cs="Arial"/>
          <w:color w:val="000000"/>
          <w:sz w:val="20"/>
          <w:lang w:eastAsia="en-GB"/>
        </w:rPr>
        <w:t>Richardson, A. (2014a). Adhesive Manufacturing in Australia. IBISWorld Industry Report C1915.</w:t>
      </w:r>
    </w:p>
    <w:p w14:paraId="28104D8B" w14:textId="77777777" w:rsidR="00F264B0" w:rsidRPr="00F264B0" w:rsidRDefault="00F264B0" w:rsidP="00F264B0">
      <w:pPr>
        <w:rPr>
          <w:rFonts w:cs="Arial"/>
          <w:color w:val="000000"/>
          <w:sz w:val="20"/>
          <w:lang w:eastAsia="en-GB"/>
        </w:rPr>
      </w:pPr>
    </w:p>
    <w:p w14:paraId="147B9D73" w14:textId="77777777" w:rsidR="00F264B0" w:rsidRPr="00F264B0" w:rsidRDefault="00F264B0" w:rsidP="00F264B0">
      <w:pPr>
        <w:rPr>
          <w:rFonts w:cs="Arial"/>
          <w:color w:val="000000"/>
          <w:sz w:val="20"/>
          <w:lang w:eastAsia="en-GB"/>
        </w:rPr>
      </w:pPr>
      <w:r w:rsidRPr="00F264B0">
        <w:rPr>
          <w:rFonts w:cs="Arial"/>
          <w:color w:val="000000"/>
          <w:sz w:val="20"/>
          <w:lang w:eastAsia="en-GB"/>
        </w:rPr>
        <w:t>Richardson, A. (2014b). Synthetic Resin and Synthetic Rubber Manufacturing in Australia. IBISWorld Industry Report C1821.</w:t>
      </w:r>
    </w:p>
    <w:p w14:paraId="6553F0FC" w14:textId="77777777" w:rsidR="00F264B0" w:rsidRPr="00F264B0" w:rsidRDefault="00F264B0" w:rsidP="00F264B0">
      <w:pPr>
        <w:rPr>
          <w:rFonts w:cs="Arial"/>
          <w:color w:val="000000"/>
          <w:sz w:val="20"/>
          <w:lang w:eastAsia="en-GB"/>
        </w:rPr>
      </w:pPr>
    </w:p>
    <w:p w14:paraId="6050D3D4" w14:textId="77777777" w:rsidR="00F264B0" w:rsidRPr="00F264B0" w:rsidRDefault="00F264B0" w:rsidP="00F264B0">
      <w:pPr>
        <w:rPr>
          <w:sz w:val="20"/>
        </w:rPr>
      </w:pPr>
      <w:r w:rsidRPr="00F264B0">
        <w:rPr>
          <w:sz w:val="20"/>
        </w:rPr>
        <w:t>Robertson G.L. (2013) Food Packaging: Principles and Practice, 3</w:t>
      </w:r>
      <w:r w:rsidRPr="00F264B0">
        <w:rPr>
          <w:sz w:val="20"/>
          <w:vertAlign w:val="superscript"/>
        </w:rPr>
        <w:t>rd</w:t>
      </w:r>
      <w:r w:rsidRPr="00F264B0">
        <w:rPr>
          <w:sz w:val="20"/>
        </w:rPr>
        <w:t xml:space="preserve"> edn. Boca Raton, FL: CRC Press.</w:t>
      </w:r>
      <w:r w:rsidRPr="00F264B0">
        <w:rPr>
          <w:sz w:val="20"/>
        </w:rPr>
        <w:tab/>
      </w:r>
    </w:p>
    <w:p w14:paraId="17DB5584" w14:textId="77777777" w:rsidR="00F264B0" w:rsidRPr="00F264B0" w:rsidRDefault="00F264B0" w:rsidP="00F264B0"/>
    <w:p w14:paraId="546C7933" w14:textId="77777777" w:rsidR="00F264B0" w:rsidRPr="00DD6322" w:rsidRDefault="00F264B0" w:rsidP="00F264B0">
      <w:pPr>
        <w:rPr>
          <w:rFonts w:eastAsiaTheme="majorEastAsia" w:cs="Arial"/>
          <w:b/>
          <w:bCs/>
          <w:sz w:val="28"/>
          <w:szCs w:val="22"/>
        </w:rPr>
      </w:pPr>
      <w:r w:rsidRPr="00DD6322">
        <w:rPr>
          <w:rFonts w:eastAsiaTheme="majorEastAsia" w:cs="Arial"/>
          <w:b/>
          <w:bCs/>
          <w:sz w:val="28"/>
          <w:szCs w:val="22"/>
        </w:rPr>
        <w:br w:type="page"/>
      </w:r>
    </w:p>
    <w:p w14:paraId="607287F8" w14:textId="77777777" w:rsidR="00F264B0" w:rsidRPr="00F264B0" w:rsidRDefault="00F264B0" w:rsidP="00F264B0">
      <w:pPr>
        <w:keepNext/>
        <w:widowControl/>
        <w:spacing w:before="240" w:after="240"/>
        <w:outlineLvl w:val="1"/>
        <w:rPr>
          <w:rFonts w:eastAsiaTheme="majorEastAsia" w:cs="Arial"/>
          <w:b/>
          <w:bCs/>
          <w:sz w:val="28"/>
          <w:szCs w:val="22"/>
          <w:lang w:bidi="ar-SA"/>
        </w:rPr>
      </w:pPr>
      <w:r w:rsidRPr="00DD6322">
        <w:rPr>
          <w:rFonts w:eastAsiaTheme="majorEastAsia" w:cs="Arial"/>
          <w:b/>
          <w:sz w:val="28"/>
          <w:szCs w:val="22"/>
          <w:lang w:bidi="ar-SA"/>
        </w:rPr>
        <w:lastRenderedPageBreak/>
        <w:t>Appendix 1</w:t>
      </w:r>
      <w:r w:rsidRPr="00F264B0">
        <w:rPr>
          <w:rFonts w:eastAsiaTheme="majorEastAsia" w:cs="Arial"/>
          <w:b/>
          <w:bCs/>
          <w:sz w:val="28"/>
          <w:szCs w:val="22"/>
          <w:lang w:bidi="ar-SA"/>
        </w:rPr>
        <w:t>:  Sub-categories of packaging materials (Source: ABS, 2015)</w:t>
      </w:r>
    </w:p>
    <w:tbl>
      <w:tblPr>
        <w:tblStyle w:val="TableGrid1"/>
        <w:tblW w:w="9072" w:type="dxa"/>
        <w:tblLook w:val="04A0" w:firstRow="1" w:lastRow="0" w:firstColumn="1" w:lastColumn="0" w:noHBand="0" w:noVBand="1"/>
      </w:tblPr>
      <w:tblGrid>
        <w:gridCol w:w="2083"/>
        <w:gridCol w:w="6989"/>
      </w:tblGrid>
      <w:tr w:rsidR="00F264B0" w:rsidRPr="00F264B0" w14:paraId="6DA3479C" w14:textId="77777777" w:rsidTr="00EF6A7D">
        <w:tc>
          <w:tcPr>
            <w:tcW w:w="9286" w:type="dxa"/>
            <w:gridSpan w:val="2"/>
          </w:tcPr>
          <w:p w14:paraId="24D72B42" w14:textId="77777777" w:rsidR="00F264B0" w:rsidRPr="00F264B0" w:rsidRDefault="00F264B0" w:rsidP="00F264B0">
            <w:pPr>
              <w:jc w:val="center"/>
              <w:rPr>
                <w:b/>
                <w:lang w:val="en-GB"/>
              </w:rPr>
            </w:pPr>
            <w:r w:rsidRPr="00F264B0">
              <w:rPr>
                <w:b/>
                <w:lang w:val="en-GB"/>
              </w:rPr>
              <w:t>Packaging material</w:t>
            </w:r>
          </w:p>
        </w:tc>
      </w:tr>
      <w:tr w:rsidR="00F264B0" w:rsidRPr="00F264B0" w14:paraId="41CA8A2C" w14:textId="77777777" w:rsidTr="00EF6A7D">
        <w:tc>
          <w:tcPr>
            <w:tcW w:w="2093" w:type="dxa"/>
          </w:tcPr>
          <w:p w14:paraId="2BFF1433" w14:textId="77777777" w:rsidR="00F264B0" w:rsidRPr="00F264B0" w:rsidRDefault="00F264B0" w:rsidP="00F264B0">
            <w:pPr>
              <w:jc w:val="center"/>
              <w:rPr>
                <w:b/>
                <w:lang w:val="en-GB"/>
              </w:rPr>
            </w:pPr>
            <w:r w:rsidRPr="00F264B0">
              <w:rPr>
                <w:b/>
                <w:lang w:val="en-GB"/>
              </w:rPr>
              <w:t>Broad category</w:t>
            </w:r>
          </w:p>
        </w:tc>
        <w:tc>
          <w:tcPr>
            <w:tcW w:w="7193" w:type="dxa"/>
          </w:tcPr>
          <w:p w14:paraId="73B6AAFC" w14:textId="77777777" w:rsidR="00F264B0" w:rsidRPr="00F264B0" w:rsidRDefault="00F264B0" w:rsidP="00F264B0">
            <w:pPr>
              <w:jc w:val="center"/>
              <w:rPr>
                <w:b/>
                <w:lang w:val="en-GB"/>
              </w:rPr>
            </w:pPr>
            <w:r w:rsidRPr="00F264B0">
              <w:rPr>
                <w:b/>
                <w:lang w:val="en-GB"/>
              </w:rPr>
              <w:t>Sub-categories</w:t>
            </w:r>
          </w:p>
        </w:tc>
      </w:tr>
      <w:tr w:rsidR="00F264B0" w:rsidRPr="00F264B0" w14:paraId="68BA0661" w14:textId="77777777" w:rsidTr="00EF6A7D">
        <w:tc>
          <w:tcPr>
            <w:tcW w:w="2093" w:type="dxa"/>
          </w:tcPr>
          <w:p w14:paraId="122380CB" w14:textId="77777777" w:rsidR="00F264B0" w:rsidRPr="00F264B0" w:rsidRDefault="00F264B0" w:rsidP="00F264B0">
            <w:pPr>
              <w:rPr>
                <w:sz w:val="20"/>
                <w:lang w:val="en-GB"/>
              </w:rPr>
            </w:pPr>
            <w:r w:rsidRPr="00F264B0">
              <w:rPr>
                <w:sz w:val="20"/>
                <w:lang w:val="en-GB"/>
              </w:rPr>
              <w:t>Paper/paperboard</w:t>
            </w:r>
          </w:p>
        </w:tc>
        <w:tc>
          <w:tcPr>
            <w:tcW w:w="7193" w:type="dxa"/>
          </w:tcPr>
          <w:p w14:paraId="7710B82B" w14:textId="77777777" w:rsidR="00F264B0" w:rsidRPr="00F264B0" w:rsidRDefault="00F264B0" w:rsidP="00F264B0">
            <w:pPr>
              <w:widowControl/>
              <w:numPr>
                <w:ilvl w:val="0"/>
                <w:numId w:val="50"/>
              </w:numPr>
              <w:contextualSpacing/>
              <w:rPr>
                <w:sz w:val="20"/>
                <w:lang w:val="en-GB"/>
              </w:rPr>
            </w:pPr>
            <w:r w:rsidRPr="00F264B0">
              <w:rPr>
                <w:sz w:val="20"/>
                <w:lang w:val="en-GB"/>
              </w:rPr>
              <w:t>Cartons, boxes and cases of corrugated paper or paperboard</w:t>
            </w:r>
          </w:p>
          <w:p w14:paraId="57765450" w14:textId="77777777" w:rsidR="00F264B0" w:rsidRPr="00F264B0" w:rsidRDefault="00F264B0" w:rsidP="00F264B0">
            <w:pPr>
              <w:widowControl/>
              <w:numPr>
                <w:ilvl w:val="0"/>
                <w:numId w:val="50"/>
              </w:numPr>
              <w:contextualSpacing/>
              <w:rPr>
                <w:sz w:val="20"/>
                <w:lang w:val="en-GB"/>
              </w:rPr>
            </w:pPr>
            <w:r w:rsidRPr="00F264B0">
              <w:rPr>
                <w:sz w:val="20"/>
                <w:lang w:val="en-GB"/>
              </w:rPr>
              <w:t>Folding cartons, boxes and cases of non-corrugated paper or paperboard</w:t>
            </w:r>
          </w:p>
          <w:p w14:paraId="718D634A" w14:textId="77777777" w:rsidR="00F264B0" w:rsidRPr="00F264B0" w:rsidRDefault="00F264B0" w:rsidP="00F264B0">
            <w:pPr>
              <w:widowControl/>
              <w:numPr>
                <w:ilvl w:val="0"/>
                <w:numId w:val="50"/>
              </w:numPr>
              <w:contextualSpacing/>
              <w:rPr>
                <w:sz w:val="20"/>
                <w:lang w:val="en-GB"/>
              </w:rPr>
            </w:pPr>
            <w:r w:rsidRPr="00F264B0">
              <w:rPr>
                <w:sz w:val="20"/>
                <w:lang w:val="en-GB"/>
              </w:rPr>
              <w:t>Sacks and bags, having a base of a width of 40 cm or more, of paper, paperboard, cellulose wadding or webs of cellulose fibres</w:t>
            </w:r>
          </w:p>
          <w:p w14:paraId="5827131B" w14:textId="77777777" w:rsidR="00F264B0" w:rsidRPr="00F264B0" w:rsidRDefault="00F264B0" w:rsidP="00F264B0">
            <w:pPr>
              <w:widowControl/>
              <w:numPr>
                <w:ilvl w:val="0"/>
                <w:numId w:val="50"/>
              </w:numPr>
              <w:contextualSpacing/>
              <w:rPr>
                <w:sz w:val="20"/>
                <w:lang w:val="en-GB"/>
              </w:rPr>
            </w:pPr>
            <w:r w:rsidRPr="00F264B0">
              <w:rPr>
                <w:sz w:val="20"/>
                <w:lang w:val="en-GB"/>
              </w:rPr>
              <w:t xml:space="preserve">Sacks and bags (incl. cones) of paper, paperboard, cellulose wadding or webs of cellulose fibres </w:t>
            </w:r>
          </w:p>
          <w:p w14:paraId="6E14CAFF" w14:textId="77777777" w:rsidR="00F264B0" w:rsidRPr="00F264B0" w:rsidRDefault="00F264B0" w:rsidP="00F264B0">
            <w:pPr>
              <w:widowControl/>
              <w:numPr>
                <w:ilvl w:val="0"/>
                <w:numId w:val="50"/>
              </w:numPr>
              <w:contextualSpacing/>
              <w:rPr>
                <w:sz w:val="20"/>
                <w:lang w:val="en-GB"/>
              </w:rPr>
            </w:pPr>
            <w:r w:rsidRPr="00F264B0">
              <w:rPr>
                <w:sz w:val="20"/>
                <w:lang w:val="en-GB"/>
              </w:rPr>
              <w:t>Packing containers of paper, paperboard, cellulose wadding or webs of cellulose fibres</w:t>
            </w:r>
          </w:p>
          <w:p w14:paraId="2EBC90D3" w14:textId="77777777" w:rsidR="00F264B0" w:rsidRPr="00F264B0" w:rsidRDefault="00F264B0" w:rsidP="00F264B0">
            <w:pPr>
              <w:widowControl/>
              <w:numPr>
                <w:ilvl w:val="0"/>
                <w:numId w:val="50"/>
              </w:numPr>
              <w:contextualSpacing/>
              <w:rPr>
                <w:sz w:val="20"/>
                <w:lang w:val="en-GB"/>
              </w:rPr>
            </w:pPr>
            <w:r w:rsidRPr="00F264B0">
              <w:rPr>
                <w:sz w:val="20"/>
                <w:lang w:val="en-GB"/>
              </w:rPr>
              <w:t>Trays, dishes, plates, cups and the like, of paper or paperboard of bamboo</w:t>
            </w:r>
          </w:p>
          <w:p w14:paraId="130CAF9E" w14:textId="77777777" w:rsidR="00F264B0" w:rsidRPr="00F264B0" w:rsidRDefault="00F264B0" w:rsidP="00F264B0">
            <w:pPr>
              <w:widowControl/>
              <w:numPr>
                <w:ilvl w:val="0"/>
                <w:numId w:val="50"/>
              </w:numPr>
              <w:contextualSpacing/>
              <w:rPr>
                <w:sz w:val="20"/>
                <w:lang w:val="en-GB"/>
              </w:rPr>
            </w:pPr>
            <w:r w:rsidRPr="00F264B0">
              <w:rPr>
                <w:sz w:val="20"/>
                <w:lang w:val="en-GB"/>
              </w:rPr>
              <w:t>Trays, dishes, plates, cups and the like, of paper or paperboard (excl. bamboo)</w:t>
            </w:r>
          </w:p>
        </w:tc>
      </w:tr>
      <w:tr w:rsidR="00F264B0" w:rsidRPr="00F264B0" w14:paraId="20D6513F" w14:textId="77777777" w:rsidTr="00EF6A7D">
        <w:tc>
          <w:tcPr>
            <w:tcW w:w="2093" w:type="dxa"/>
          </w:tcPr>
          <w:p w14:paraId="4393AA1A" w14:textId="77777777" w:rsidR="00F264B0" w:rsidRPr="00F264B0" w:rsidRDefault="00F264B0" w:rsidP="00F264B0">
            <w:pPr>
              <w:rPr>
                <w:sz w:val="20"/>
                <w:lang w:val="en-GB"/>
              </w:rPr>
            </w:pPr>
            <w:r w:rsidRPr="00F264B0">
              <w:rPr>
                <w:sz w:val="20"/>
                <w:lang w:val="en-GB"/>
              </w:rPr>
              <w:t>Plastic</w:t>
            </w:r>
          </w:p>
        </w:tc>
        <w:tc>
          <w:tcPr>
            <w:tcW w:w="7193" w:type="dxa"/>
          </w:tcPr>
          <w:p w14:paraId="12F192BF" w14:textId="77777777" w:rsidR="00F264B0" w:rsidRPr="00F264B0" w:rsidRDefault="00F264B0" w:rsidP="00F264B0">
            <w:pPr>
              <w:widowControl/>
              <w:numPr>
                <w:ilvl w:val="0"/>
                <w:numId w:val="50"/>
              </w:numPr>
              <w:contextualSpacing/>
              <w:rPr>
                <w:sz w:val="20"/>
                <w:lang w:val="en-GB"/>
              </w:rPr>
            </w:pPr>
            <w:r w:rsidRPr="00F264B0">
              <w:rPr>
                <w:sz w:val="20"/>
                <w:lang w:val="en-GB"/>
              </w:rPr>
              <w:t>Flexible food grade film &gt;= 6% of plasticisers</w:t>
            </w:r>
          </w:p>
          <w:p w14:paraId="5897610F" w14:textId="77777777" w:rsidR="00F264B0" w:rsidRPr="00F264B0" w:rsidRDefault="00F264B0" w:rsidP="00F264B0">
            <w:pPr>
              <w:widowControl/>
              <w:numPr>
                <w:ilvl w:val="0"/>
                <w:numId w:val="50"/>
              </w:numPr>
              <w:contextualSpacing/>
              <w:rPr>
                <w:sz w:val="20"/>
                <w:lang w:val="en-GB"/>
              </w:rPr>
            </w:pPr>
            <w:r w:rsidRPr="00F264B0">
              <w:rPr>
                <w:sz w:val="20"/>
                <w:lang w:val="en-GB"/>
              </w:rPr>
              <w:t>Flexible food grade film &lt; 6% of plasticisers</w:t>
            </w:r>
          </w:p>
          <w:p w14:paraId="427354B7" w14:textId="77777777" w:rsidR="00F264B0" w:rsidRPr="00F264B0" w:rsidRDefault="00F264B0" w:rsidP="00F264B0">
            <w:pPr>
              <w:widowControl/>
              <w:numPr>
                <w:ilvl w:val="0"/>
                <w:numId w:val="50"/>
              </w:numPr>
              <w:contextualSpacing/>
              <w:rPr>
                <w:sz w:val="20"/>
                <w:lang w:val="en-GB"/>
              </w:rPr>
            </w:pPr>
            <w:r w:rsidRPr="00F264B0">
              <w:rPr>
                <w:sz w:val="20"/>
                <w:lang w:val="en-GB"/>
              </w:rPr>
              <w:t>Plates, sheets, film, foil and strip, of non-cellular plastics</w:t>
            </w:r>
          </w:p>
          <w:p w14:paraId="5D85C945" w14:textId="77777777" w:rsidR="00F264B0" w:rsidRPr="00F264B0" w:rsidRDefault="00F264B0" w:rsidP="00F264B0">
            <w:pPr>
              <w:widowControl/>
              <w:numPr>
                <w:ilvl w:val="0"/>
                <w:numId w:val="50"/>
              </w:numPr>
              <w:contextualSpacing/>
              <w:rPr>
                <w:sz w:val="20"/>
                <w:lang w:val="en-GB"/>
              </w:rPr>
            </w:pPr>
            <w:r w:rsidRPr="00F264B0">
              <w:rPr>
                <w:sz w:val="20"/>
                <w:lang w:val="en-GB"/>
              </w:rPr>
              <w:t xml:space="preserve">Boxes, cases, crates and similar articles of polymers of styrene or of vinyl chloride </w:t>
            </w:r>
          </w:p>
          <w:p w14:paraId="70873F45" w14:textId="77777777" w:rsidR="00F264B0" w:rsidRPr="00F264B0" w:rsidRDefault="00F264B0" w:rsidP="00F264B0">
            <w:pPr>
              <w:widowControl/>
              <w:numPr>
                <w:ilvl w:val="0"/>
                <w:numId w:val="50"/>
              </w:numPr>
              <w:contextualSpacing/>
              <w:rPr>
                <w:sz w:val="20"/>
                <w:lang w:val="en-GB"/>
              </w:rPr>
            </w:pPr>
            <w:r w:rsidRPr="00F264B0">
              <w:rPr>
                <w:sz w:val="20"/>
                <w:lang w:val="en-GB"/>
              </w:rPr>
              <w:t xml:space="preserve">Boxes, cases, crates and similar articles of polymers of ethylene or of propylene </w:t>
            </w:r>
          </w:p>
          <w:p w14:paraId="0F9326CA" w14:textId="77777777" w:rsidR="00F264B0" w:rsidRPr="00F264B0" w:rsidRDefault="00F264B0" w:rsidP="00F264B0">
            <w:pPr>
              <w:widowControl/>
              <w:numPr>
                <w:ilvl w:val="0"/>
                <w:numId w:val="50"/>
              </w:numPr>
              <w:contextualSpacing/>
              <w:rPr>
                <w:sz w:val="20"/>
                <w:lang w:val="en-GB"/>
              </w:rPr>
            </w:pPr>
            <w:r w:rsidRPr="00F264B0">
              <w:rPr>
                <w:sz w:val="20"/>
                <w:lang w:val="en-GB"/>
              </w:rPr>
              <w:t xml:space="preserve">Other boxes, cases, crates and similar articles of plastics </w:t>
            </w:r>
          </w:p>
          <w:p w14:paraId="1B43DC71" w14:textId="77777777" w:rsidR="00F264B0" w:rsidRPr="00F264B0" w:rsidRDefault="00F264B0" w:rsidP="00F264B0">
            <w:pPr>
              <w:widowControl/>
              <w:numPr>
                <w:ilvl w:val="0"/>
                <w:numId w:val="50"/>
              </w:numPr>
              <w:contextualSpacing/>
              <w:rPr>
                <w:sz w:val="20"/>
                <w:lang w:val="en-GB"/>
              </w:rPr>
            </w:pPr>
            <w:r w:rsidRPr="00F264B0">
              <w:rPr>
                <w:sz w:val="20"/>
                <w:lang w:val="en-GB"/>
              </w:rPr>
              <w:t>Shopping bags  of low density polyethylene</w:t>
            </w:r>
          </w:p>
          <w:p w14:paraId="156C925A" w14:textId="77777777" w:rsidR="00F264B0" w:rsidRPr="00F264B0" w:rsidRDefault="00F264B0" w:rsidP="00F264B0">
            <w:pPr>
              <w:widowControl/>
              <w:numPr>
                <w:ilvl w:val="0"/>
                <w:numId w:val="50"/>
              </w:numPr>
              <w:contextualSpacing/>
              <w:rPr>
                <w:sz w:val="20"/>
                <w:lang w:val="en-GB"/>
              </w:rPr>
            </w:pPr>
            <w:r w:rsidRPr="00F264B0">
              <w:rPr>
                <w:sz w:val="20"/>
                <w:lang w:val="en-GB"/>
              </w:rPr>
              <w:t xml:space="preserve">Shopping bags  of polyethylene </w:t>
            </w:r>
          </w:p>
          <w:p w14:paraId="01373C20" w14:textId="77777777" w:rsidR="00F264B0" w:rsidRPr="00F264B0" w:rsidRDefault="00F264B0" w:rsidP="00F264B0">
            <w:pPr>
              <w:widowControl/>
              <w:numPr>
                <w:ilvl w:val="0"/>
                <w:numId w:val="50"/>
              </w:numPr>
              <w:contextualSpacing/>
              <w:rPr>
                <w:sz w:val="20"/>
                <w:lang w:val="en-GB"/>
              </w:rPr>
            </w:pPr>
            <w:r w:rsidRPr="00F264B0">
              <w:rPr>
                <w:sz w:val="20"/>
                <w:lang w:val="en-GB"/>
              </w:rPr>
              <w:t>Shopping bags  of polymers of ethylene</w:t>
            </w:r>
          </w:p>
          <w:p w14:paraId="3F0A384B" w14:textId="77777777" w:rsidR="00F264B0" w:rsidRPr="00F264B0" w:rsidRDefault="00F264B0" w:rsidP="00F264B0">
            <w:pPr>
              <w:widowControl/>
              <w:numPr>
                <w:ilvl w:val="0"/>
                <w:numId w:val="50"/>
              </w:numPr>
              <w:contextualSpacing/>
              <w:rPr>
                <w:sz w:val="20"/>
                <w:lang w:val="en-GB"/>
              </w:rPr>
            </w:pPr>
            <w:r w:rsidRPr="00F264B0">
              <w:rPr>
                <w:sz w:val="20"/>
                <w:lang w:val="en-GB"/>
              </w:rPr>
              <w:t>Sacks and bags  of low density polyethylene</w:t>
            </w:r>
          </w:p>
          <w:p w14:paraId="061E7695" w14:textId="77777777" w:rsidR="00F264B0" w:rsidRPr="00F264B0" w:rsidRDefault="00F264B0" w:rsidP="00F264B0">
            <w:pPr>
              <w:widowControl/>
              <w:numPr>
                <w:ilvl w:val="0"/>
                <w:numId w:val="50"/>
              </w:numPr>
              <w:contextualSpacing/>
              <w:rPr>
                <w:sz w:val="20"/>
                <w:lang w:val="en-GB"/>
              </w:rPr>
            </w:pPr>
            <w:r w:rsidRPr="00F264B0">
              <w:rPr>
                <w:sz w:val="20"/>
                <w:lang w:val="en-GB"/>
              </w:rPr>
              <w:t xml:space="preserve">Sacks and bags of polyethylene </w:t>
            </w:r>
          </w:p>
          <w:p w14:paraId="59B7EF32" w14:textId="77777777" w:rsidR="00F264B0" w:rsidRPr="00F264B0" w:rsidRDefault="00F264B0" w:rsidP="00F264B0">
            <w:pPr>
              <w:widowControl/>
              <w:numPr>
                <w:ilvl w:val="0"/>
                <w:numId w:val="50"/>
              </w:numPr>
              <w:contextualSpacing/>
              <w:rPr>
                <w:sz w:val="20"/>
                <w:lang w:val="en-GB"/>
              </w:rPr>
            </w:pPr>
            <w:r w:rsidRPr="00F264B0">
              <w:rPr>
                <w:sz w:val="20"/>
                <w:lang w:val="en-GB"/>
              </w:rPr>
              <w:t xml:space="preserve">Sacks and bags of polymers of ethylene </w:t>
            </w:r>
          </w:p>
          <w:p w14:paraId="00602C6E" w14:textId="77777777" w:rsidR="00F264B0" w:rsidRPr="00F264B0" w:rsidRDefault="00F264B0" w:rsidP="00F264B0">
            <w:pPr>
              <w:widowControl/>
              <w:numPr>
                <w:ilvl w:val="0"/>
                <w:numId w:val="50"/>
              </w:numPr>
              <w:contextualSpacing/>
              <w:rPr>
                <w:sz w:val="20"/>
                <w:lang w:val="en-GB"/>
              </w:rPr>
            </w:pPr>
            <w:r w:rsidRPr="00F264B0">
              <w:rPr>
                <w:sz w:val="20"/>
                <w:lang w:val="en-GB"/>
              </w:rPr>
              <w:t xml:space="preserve">Plastic sacks and bags </w:t>
            </w:r>
          </w:p>
          <w:p w14:paraId="04953495" w14:textId="77777777" w:rsidR="00F264B0" w:rsidRPr="00F264B0" w:rsidRDefault="00F264B0" w:rsidP="00F264B0">
            <w:pPr>
              <w:widowControl/>
              <w:numPr>
                <w:ilvl w:val="0"/>
                <w:numId w:val="50"/>
              </w:numPr>
              <w:contextualSpacing/>
              <w:rPr>
                <w:sz w:val="20"/>
                <w:lang w:val="en-GB"/>
              </w:rPr>
            </w:pPr>
            <w:r w:rsidRPr="00F264B0">
              <w:rPr>
                <w:sz w:val="20"/>
                <w:lang w:val="en-GB"/>
              </w:rPr>
              <w:t>Carboys, bottles, flasks of styrene or of polymers of vinyl chloride</w:t>
            </w:r>
          </w:p>
          <w:p w14:paraId="6B0EE995" w14:textId="77777777" w:rsidR="00F264B0" w:rsidRPr="00F264B0" w:rsidRDefault="00F264B0" w:rsidP="00F264B0">
            <w:pPr>
              <w:widowControl/>
              <w:numPr>
                <w:ilvl w:val="0"/>
                <w:numId w:val="50"/>
              </w:numPr>
              <w:contextualSpacing/>
              <w:rPr>
                <w:sz w:val="20"/>
                <w:lang w:val="en-GB"/>
              </w:rPr>
            </w:pPr>
            <w:r w:rsidRPr="00F264B0">
              <w:rPr>
                <w:sz w:val="20"/>
                <w:lang w:val="en-GB"/>
              </w:rPr>
              <w:t>Carboys, bottles, flasks and similar articles of polymers of ethylene or of polymers of propylene</w:t>
            </w:r>
          </w:p>
          <w:p w14:paraId="3623DCD8" w14:textId="77777777" w:rsidR="00F264B0" w:rsidRPr="00F264B0" w:rsidRDefault="00F264B0" w:rsidP="00F264B0">
            <w:pPr>
              <w:widowControl/>
              <w:numPr>
                <w:ilvl w:val="0"/>
                <w:numId w:val="50"/>
              </w:numPr>
              <w:contextualSpacing/>
              <w:rPr>
                <w:sz w:val="20"/>
                <w:lang w:val="en-GB"/>
              </w:rPr>
            </w:pPr>
            <w:r w:rsidRPr="00F264B0">
              <w:rPr>
                <w:sz w:val="20"/>
                <w:lang w:val="en-GB"/>
              </w:rPr>
              <w:t xml:space="preserve">Plastic carboys, bottles, flasks </w:t>
            </w:r>
          </w:p>
          <w:p w14:paraId="18DC2AC1" w14:textId="77777777" w:rsidR="00F264B0" w:rsidRPr="00F264B0" w:rsidRDefault="00F264B0" w:rsidP="00F264B0">
            <w:pPr>
              <w:widowControl/>
              <w:numPr>
                <w:ilvl w:val="0"/>
                <w:numId w:val="50"/>
              </w:numPr>
              <w:contextualSpacing/>
              <w:rPr>
                <w:sz w:val="20"/>
                <w:lang w:val="en-GB"/>
              </w:rPr>
            </w:pPr>
            <w:r w:rsidRPr="00F264B0">
              <w:rPr>
                <w:sz w:val="20"/>
                <w:lang w:val="en-GB"/>
              </w:rPr>
              <w:t>Stoppers, lids, caps and other closures, of polymers of styrene or of polymers of vinyl chloride</w:t>
            </w:r>
          </w:p>
          <w:p w14:paraId="5160F140" w14:textId="77777777" w:rsidR="00F264B0" w:rsidRPr="00F264B0" w:rsidRDefault="00F264B0" w:rsidP="00F264B0">
            <w:pPr>
              <w:widowControl/>
              <w:numPr>
                <w:ilvl w:val="0"/>
                <w:numId w:val="50"/>
              </w:numPr>
              <w:contextualSpacing/>
              <w:rPr>
                <w:sz w:val="20"/>
                <w:lang w:val="en-GB"/>
              </w:rPr>
            </w:pPr>
            <w:r w:rsidRPr="00F264B0">
              <w:rPr>
                <w:sz w:val="20"/>
                <w:lang w:val="en-GB"/>
              </w:rPr>
              <w:t>Stoppers, lids, caps and other closures, of polymers of ethylene or of polymers of propylene</w:t>
            </w:r>
          </w:p>
          <w:p w14:paraId="0F13F480" w14:textId="77777777" w:rsidR="00F264B0" w:rsidRPr="00F264B0" w:rsidRDefault="00F264B0" w:rsidP="00F264B0">
            <w:pPr>
              <w:widowControl/>
              <w:numPr>
                <w:ilvl w:val="0"/>
                <w:numId w:val="50"/>
              </w:numPr>
              <w:contextualSpacing/>
              <w:rPr>
                <w:sz w:val="20"/>
                <w:lang w:val="en-GB"/>
              </w:rPr>
            </w:pPr>
            <w:r w:rsidRPr="00F264B0">
              <w:rPr>
                <w:sz w:val="20"/>
                <w:lang w:val="en-GB"/>
              </w:rPr>
              <w:t>Plastic stoppers, lids, caps and other closures</w:t>
            </w:r>
          </w:p>
          <w:p w14:paraId="0B979A96" w14:textId="77777777" w:rsidR="00F264B0" w:rsidRPr="00F264B0" w:rsidRDefault="00F264B0" w:rsidP="00F264B0">
            <w:pPr>
              <w:widowControl/>
              <w:numPr>
                <w:ilvl w:val="0"/>
                <w:numId w:val="50"/>
              </w:numPr>
              <w:contextualSpacing/>
              <w:rPr>
                <w:sz w:val="20"/>
                <w:lang w:val="en-GB"/>
              </w:rPr>
            </w:pPr>
            <w:r w:rsidRPr="00F264B0">
              <w:rPr>
                <w:sz w:val="20"/>
                <w:lang w:val="en-GB"/>
              </w:rPr>
              <w:t xml:space="preserve">Other articles for the conveyance or packing of goods, of polymers of ethylene or of propylene </w:t>
            </w:r>
          </w:p>
          <w:p w14:paraId="521215ED" w14:textId="77777777" w:rsidR="00F264B0" w:rsidRPr="00F264B0" w:rsidRDefault="00F264B0" w:rsidP="00F264B0">
            <w:pPr>
              <w:widowControl/>
              <w:numPr>
                <w:ilvl w:val="0"/>
                <w:numId w:val="50"/>
              </w:numPr>
              <w:contextualSpacing/>
              <w:rPr>
                <w:sz w:val="20"/>
                <w:lang w:val="en-GB"/>
              </w:rPr>
            </w:pPr>
            <w:r w:rsidRPr="00F264B0">
              <w:rPr>
                <w:sz w:val="20"/>
                <w:lang w:val="en-GB"/>
              </w:rPr>
              <w:t xml:space="preserve">Collapsible plastic tubes for the conveyance or packing of goods </w:t>
            </w:r>
          </w:p>
          <w:p w14:paraId="1AE01019" w14:textId="77777777" w:rsidR="00F264B0" w:rsidRPr="00F264B0" w:rsidRDefault="00F264B0" w:rsidP="00F264B0">
            <w:pPr>
              <w:widowControl/>
              <w:numPr>
                <w:ilvl w:val="0"/>
                <w:numId w:val="50"/>
              </w:numPr>
              <w:contextualSpacing/>
              <w:rPr>
                <w:sz w:val="20"/>
                <w:lang w:val="en-GB"/>
              </w:rPr>
            </w:pPr>
            <w:r w:rsidRPr="00F264B0">
              <w:rPr>
                <w:sz w:val="20"/>
                <w:lang w:val="en-GB"/>
              </w:rPr>
              <w:t>other plastic articles for the conveyance or packing of goods</w:t>
            </w:r>
          </w:p>
        </w:tc>
      </w:tr>
      <w:tr w:rsidR="00F264B0" w:rsidRPr="00F264B0" w14:paraId="74A6A822" w14:textId="77777777" w:rsidTr="00EF6A7D">
        <w:tc>
          <w:tcPr>
            <w:tcW w:w="2093" w:type="dxa"/>
          </w:tcPr>
          <w:p w14:paraId="58F7A046" w14:textId="77777777" w:rsidR="00F264B0" w:rsidRPr="00F264B0" w:rsidRDefault="00F264B0" w:rsidP="00F264B0">
            <w:pPr>
              <w:rPr>
                <w:sz w:val="20"/>
                <w:lang w:val="en-GB"/>
              </w:rPr>
            </w:pPr>
            <w:r w:rsidRPr="00F264B0">
              <w:rPr>
                <w:sz w:val="20"/>
                <w:lang w:val="en-GB"/>
              </w:rPr>
              <w:t>Glass</w:t>
            </w:r>
          </w:p>
        </w:tc>
        <w:tc>
          <w:tcPr>
            <w:tcW w:w="7193" w:type="dxa"/>
          </w:tcPr>
          <w:p w14:paraId="2ECC74B9" w14:textId="77777777" w:rsidR="00F264B0" w:rsidRPr="00F264B0" w:rsidRDefault="00F264B0" w:rsidP="00F264B0">
            <w:pPr>
              <w:rPr>
                <w:sz w:val="20"/>
                <w:lang w:val="en-GB"/>
              </w:rPr>
            </w:pPr>
            <w:r w:rsidRPr="00F264B0">
              <w:rPr>
                <w:sz w:val="20"/>
                <w:lang w:val="en-GB"/>
              </w:rPr>
              <w:t>wine bottles; beer bottles; other bottles; jars; containers and closures.</w:t>
            </w:r>
          </w:p>
        </w:tc>
      </w:tr>
      <w:tr w:rsidR="00F264B0" w:rsidRPr="00F264B0" w14:paraId="3B04B65B" w14:textId="77777777" w:rsidTr="00EF6A7D">
        <w:tc>
          <w:tcPr>
            <w:tcW w:w="2093" w:type="dxa"/>
          </w:tcPr>
          <w:p w14:paraId="388D12C5" w14:textId="77777777" w:rsidR="00F264B0" w:rsidRPr="00F264B0" w:rsidRDefault="00F264B0" w:rsidP="00F264B0">
            <w:pPr>
              <w:rPr>
                <w:sz w:val="20"/>
                <w:lang w:val="en-GB"/>
              </w:rPr>
            </w:pPr>
            <w:r w:rsidRPr="00F264B0">
              <w:rPr>
                <w:sz w:val="20"/>
                <w:lang w:val="en-GB"/>
              </w:rPr>
              <w:t>Metal</w:t>
            </w:r>
          </w:p>
        </w:tc>
        <w:tc>
          <w:tcPr>
            <w:tcW w:w="7193" w:type="dxa"/>
          </w:tcPr>
          <w:p w14:paraId="1715D122" w14:textId="77777777" w:rsidR="00F264B0" w:rsidRPr="00F264B0" w:rsidRDefault="00F264B0" w:rsidP="00F264B0">
            <w:pPr>
              <w:rPr>
                <w:sz w:val="20"/>
                <w:lang w:val="en-GB"/>
              </w:rPr>
            </w:pPr>
            <w:r w:rsidRPr="00F264B0">
              <w:rPr>
                <w:sz w:val="20"/>
                <w:lang w:val="en-GB"/>
              </w:rPr>
              <w:t>cans (&lt;50L); iron or steel tanks, casks, drums, cans.</w:t>
            </w:r>
          </w:p>
        </w:tc>
      </w:tr>
    </w:tbl>
    <w:p w14:paraId="7C1688EF" w14:textId="77777777" w:rsidR="00F264B0" w:rsidRPr="00F264B0" w:rsidRDefault="00F264B0" w:rsidP="00F264B0"/>
    <w:p w14:paraId="63EA35FA" w14:textId="77777777" w:rsidR="00D60568" w:rsidRPr="00DD6322" w:rsidRDefault="00D60568" w:rsidP="00690206"/>
    <w:sectPr w:rsidR="00D60568" w:rsidRPr="00DD6322" w:rsidSect="00DD632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7F5CA3" w14:textId="77777777" w:rsidR="00E55103" w:rsidRDefault="00E55103">
      <w:r>
        <w:separator/>
      </w:r>
    </w:p>
  </w:endnote>
  <w:endnote w:type="continuationSeparator" w:id="0">
    <w:p w14:paraId="2D7D31E8" w14:textId="77777777" w:rsidR="00E55103" w:rsidRDefault="00E55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5476673"/>
      <w:docPartObj>
        <w:docPartGallery w:val="Page Numbers (Bottom of Page)"/>
        <w:docPartUnique/>
      </w:docPartObj>
    </w:sdtPr>
    <w:sdtEndPr>
      <w:rPr>
        <w:noProof/>
      </w:rPr>
    </w:sdtEndPr>
    <w:sdtContent>
      <w:p w14:paraId="618ECEAC" w14:textId="77777777" w:rsidR="00F264B0" w:rsidRDefault="00F264B0" w:rsidP="00DF3F38">
        <w:pPr>
          <w:pStyle w:val="Footer"/>
          <w:jc w:val="center"/>
        </w:pPr>
        <w:r>
          <w:fldChar w:fldCharType="begin"/>
        </w:r>
        <w:r>
          <w:instrText xml:space="preserve"> PAGE   \* MERGEFORMAT </w:instrText>
        </w:r>
        <w:r>
          <w:fldChar w:fldCharType="separate"/>
        </w:r>
        <w:r w:rsidR="008E291C">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F589A7" w14:textId="77777777" w:rsidR="00E55103" w:rsidRDefault="00E55103">
      <w:r>
        <w:separator/>
      </w:r>
    </w:p>
  </w:footnote>
  <w:footnote w:type="continuationSeparator" w:id="0">
    <w:p w14:paraId="387688AC" w14:textId="77777777" w:rsidR="00E55103" w:rsidRDefault="00E55103">
      <w:r>
        <w:continuationSeparator/>
      </w:r>
    </w:p>
  </w:footnote>
  <w:footnote w:id="1">
    <w:p w14:paraId="7B23055B" w14:textId="77777777" w:rsidR="00F264B0" w:rsidRPr="00AC5EEB" w:rsidRDefault="00F264B0" w:rsidP="00F264B0">
      <w:pPr>
        <w:pStyle w:val="FootnoteText"/>
        <w:rPr>
          <w:sz w:val="18"/>
          <w:szCs w:val="18"/>
          <w:lang w:val="en-AU"/>
        </w:rPr>
      </w:pPr>
      <w:r w:rsidRPr="00AC5EEB">
        <w:rPr>
          <w:rStyle w:val="FootnoteReference"/>
          <w:sz w:val="18"/>
          <w:szCs w:val="18"/>
        </w:rPr>
        <w:footnoteRef/>
      </w:r>
      <w:r w:rsidRPr="00AC5EEB">
        <w:rPr>
          <w:sz w:val="18"/>
          <w:szCs w:val="18"/>
        </w:rPr>
        <w:t xml:space="preserve"> Consultations were undertaken through advisory group meetings, phone interviews, surveys and responses/submissions to the consultation paper </w:t>
      </w:r>
      <w:hyperlink r:id="rId1" w:history="1">
        <w:r w:rsidRPr="00AC5EEB">
          <w:rPr>
            <w:rStyle w:val="Hyperlink"/>
            <w:sz w:val="18"/>
            <w:szCs w:val="18"/>
          </w:rPr>
          <w:t>http://www.foodstandards.gov.au/code/proposals/Pages/P1034ChemicalMigrationfromPackagingintoFood.aspx</w:t>
        </w:r>
      </w:hyperlink>
    </w:p>
  </w:footnote>
  <w:footnote w:id="2">
    <w:p w14:paraId="09918067" w14:textId="77777777" w:rsidR="00F264B0" w:rsidRPr="00B81301" w:rsidRDefault="00F264B0" w:rsidP="00F264B0">
      <w:pPr>
        <w:rPr>
          <w:sz w:val="18"/>
          <w:szCs w:val="18"/>
        </w:rPr>
      </w:pPr>
      <w:r w:rsidRPr="00B81301">
        <w:rPr>
          <w:rStyle w:val="FootnoteReference"/>
          <w:sz w:val="18"/>
          <w:szCs w:val="18"/>
        </w:rPr>
        <w:footnoteRef/>
      </w:r>
      <w:r w:rsidRPr="00B81301">
        <w:rPr>
          <w:sz w:val="18"/>
          <w:szCs w:val="18"/>
        </w:rPr>
        <w:t xml:space="preserve"> Note, not all of the control measures would be relevant for each industry sector in the packaging supply chain.</w:t>
      </w:r>
    </w:p>
  </w:footnote>
  <w:footnote w:id="3">
    <w:p w14:paraId="2DF7AB23" w14:textId="77777777" w:rsidR="00F264B0" w:rsidRPr="000956A0" w:rsidRDefault="00F264B0" w:rsidP="00F264B0">
      <w:pPr>
        <w:pStyle w:val="FootnoteText"/>
        <w:rPr>
          <w:lang w:val="en-US"/>
        </w:rPr>
      </w:pPr>
      <w:r w:rsidRPr="00AC5EEB">
        <w:rPr>
          <w:rStyle w:val="FootnoteReference"/>
          <w:sz w:val="18"/>
          <w:szCs w:val="18"/>
        </w:rPr>
        <w:footnoteRef/>
      </w:r>
      <w:r w:rsidRPr="00AC5EEB">
        <w:rPr>
          <w:sz w:val="18"/>
          <w:szCs w:val="18"/>
        </w:rPr>
        <w:t xml:space="preserve"> R</w:t>
      </w:r>
      <w:r w:rsidRPr="00AC5EEB">
        <w:rPr>
          <w:sz w:val="18"/>
          <w:szCs w:val="18"/>
          <w:lang w:val="en-US"/>
        </w:rPr>
        <w:t>eferences to uptake of regulatory control measures was with regard to CMPF only</w:t>
      </w:r>
    </w:p>
  </w:footnote>
  <w:footnote w:id="4">
    <w:p w14:paraId="116D2EA4" w14:textId="77777777" w:rsidR="00F264B0" w:rsidRPr="0033430F" w:rsidRDefault="00F264B0" w:rsidP="00F264B0">
      <w:pPr>
        <w:pStyle w:val="FootnoteText"/>
        <w:rPr>
          <w:sz w:val="18"/>
          <w:szCs w:val="18"/>
          <w:lang w:val="en-AU"/>
        </w:rPr>
      </w:pPr>
      <w:r w:rsidRPr="00AC5EEB">
        <w:rPr>
          <w:rStyle w:val="FootnoteReference"/>
          <w:sz w:val="18"/>
          <w:szCs w:val="18"/>
        </w:rPr>
        <w:footnoteRef/>
      </w:r>
      <w:r w:rsidRPr="00AC5EEB">
        <w:rPr>
          <w:sz w:val="18"/>
          <w:szCs w:val="18"/>
        </w:rPr>
        <w:t xml:space="preserve"> </w:t>
      </w:r>
      <w:r w:rsidRPr="0033430F">
        <w:rPr>
          <w:sz w:val="18"/>
          <w:szCs w:val="18"/>
          <w:lang w:val="en-AU"/>
        </w:rPr>
        <w:t>SMEs are considered businesses with 1-199 staff (small businesses according to the Australian Bureau of Statistics (ABS)) have 1-19 staff and medium-sized businesses have 20–199 staff. Many survey responses were from very small businesses with &lt;5 staff.</w:t>
      </w:r>
    </w:p>
  </w:footnote>
  <w:footnote w:id="5">
    <w:p w14:paraId="24A303A6" w14:textId="77777777" w:rsidR="00F264B0" w:rsidRPr="0033430F" w:rsidRDefault="00F264B0" w:rsidP="00F264B0">
      <w:pPr>
        <w:pStyle w:val="FootnoteText"/>
        <w:rPr>
          <w:sz w:val="18"/>
          <w:szCs w:val="18"/>
          <w:lang w:val="en-AU"/>
        </w:rPr>
      </w:pPr>
      <w:r w:rsidRPr="0033430F">
        <w:rPr>
          <w:rStyle w:val="FootnoteReference"/>
          <w:sz w:val="18"/>
          <w:szCs w:val="18"/>
        </w:rPr>
        <w:footnoteRef/>
      </w:r>
      <w:hyperlink r:id="rId2" w:history="1">
        <w:r w:rsidRPr="001A10C8">
          <w:rPr>
            <w:rStyle w:val="Hyperlink"/>
            <w:sz w:val="18"/>
            <w:szCs w:val="18"/>
          </w:rPr>
          <w:t>http://www.foodstandards.gov.au/code/proposals/Pages/P1034ChemicalMigrationfromPackagingintoFood.aspx</w:t>
        </w:r>
      </w:hyperlink>
    </w:p>
  </w:footnote>
  <w:footnote w:id="6">
    <w:p w14:paraId="1CCFC861" w14:textId="77777777" w:rsidR="00F264B0" w:rsidRPr="0033430F" w:rsidRDefault="00F264B0" w:rsidP="00F264B0">
      <w:pPr>
        <w:pStyle w:val="FootnoteText"/>
        <w:rPr>
          <w:sz w:val="18"/>
          <w:szCs w:val="18"/>
          <w:lang w:val="en-AU"/>
        </w:rPr>
      </w:pPr>
      <w:r w:rsidRPr="0033430F">
        <w:rPr>
          <w:rStyle w:val="FootnoteReference"/>
          <w:sz w:val="18"/>
          <w:szCs w:val="18"/>
        </w:rPr>
        <w:footnoteRef/>
      </w:r>
      <w:r w:rsidRPr="0033430F">
        <w:rPr>
          <w:sz w:val="18"/>
          <w:szCs w:val="18"/>
        </w:rPr>
        <w:t xml:space="preserve"> </w:t>
      </w:r>
      <w:r w:rsidRPr="0033430F">
        <w:rPr>
          <w:sz w:val="18"/>
          <w:szCs w:val="18"/>
          <w:lang w:val="en-AU"/>
        </w:rPr>
        <w:t xml:space="preserve">from </w:t>
      </w:r>
      <w:r w:rsidRPr="0033430F">
        <w:rPr>
          <w:sz w:val="18"/>
          <w:szCs w:val="18"/>
        </w:rPr>
        <w:t>IBIS World Business Reports</w:t>
      </w:r>
    </w:p>
  </w:footnote>
  <w:footnote w:id="7">
    <w:p w14:paraId="3FD4AEB8" w14:textId="5324712E" w:rsidR="00F264B0" w:rsidRPr="00AC5EEB" w:rsidRDefault="00F264B0" w:rsidP="00F264B0">
      <w:pPr>
        <w:pStyle w:val="FootnoteText"/>
        <w:rPr>
          <w:sz w:val="18"/>
          <w:lang w:val="en-AU"/>
        </w:rPr>
      </w:pPr>
      <w:r w:rsidRPr="0033430F">
        <w:rPr>
          <w:rStyle w:val="FootnoteReference"/>
          <w:sz w:val="18"/>
          <w:szCs w:val="18"/>
        </w:rPr>
        <w:footnoteRef/>
      </w:r>
      <w:r w:rsidRPr="0033430F">
        <w:rPr>
          <w:sz w:val="18"/>
          <w:szCs w:val="18"/>
        </w:rPr>
        <w:t xml:space="preserve"> IBISWorld (August 2014) Industry Report N7320 Packaging Services in Australia.</w:t>
      </w:r>
    </w:p>
  </w:footnote>
  <w:footnote w:id="8">
    <w:p w14:paraId="5D3F9199" w14:textId="77777777" w:rsidR="00F264B0" w:rsidRPr="0033430F" w:rsidRDefault="00F264B0" w:rsidP="00F264B0">
      <w:pPr>
        <w:pStyle w:val="FootnoteText"/>
        <w:rPr>
          <w:sz w:val="18"/>
          <w:szCs w:val="18"/>
          <w:lang w:val="en-AU"/>
        </w:rPr>
      </w:pPr>
      <w:r w:rsidRPr="00AC5EEB">
        <w:rPr>
          <w:rStyle w:val="FootnoteReference"/>
          <w:sz w:val="18"/>
          <w:szCs w:val="18"/>
        </w:rPr>
        <w:footnoteRef/>
      </w:r>
      <w:r w:rsidRPr="00AC5EEB">
        <w:rPr>
          <w:sz w:val="18"/>
          <w:szCs w:val="18"/>
        </w:rPr>
        <w:t xml:space="preserve"> </w:t>
      </w:r>
      <w:r w:rsidRPr="00AC5EEB">
        <w:rPr>
          <w:sz w:val="18"/>
          <w:szCs w:val="18"/>
          <w:lang w:val="en-AU"/>
        </w:rPr>
        <w:t xml:space="preserve">Information on packaging material regulatory and non-regulatory requirements in Australia/New Zealand and </w:t>
      </w:r>
      <w:r w:rsidRPr="0033430F">
        <w:rPr>
          <w:sz w:val="18"/>
          <w:szCs w:val="18"/>
          <w:lang w:val="en-AU"/>
        </w:rPr>
        <w:t>overseas are available in supporting documents (</w:t>
      </w:r>
      <w:hyperlink r:id="rId3" w:history="1">
        <w:r w:rsidRPr="0033430F">
          <w:rPr>
            <w:rStyle w:val="Hyperlink"/>
            <w:sz w:val="18"/>
            <w:szCs w:val="18"/>
            <w:lang w:val="en-AU"/>
          </w:rPr>
          <w:t>SD1</w:t>
        </w:r>
      </w:hyperlink>
      <w:r w:rsidRPr="0033430F">
        <w:rPr>
          <w:sz w:val="18"/>
          <w:szCs w:val="18"/>
          <w:lang w:val="en-AU"/>
        </w:rPr>
        <w:t xml:space="preserve">, </w:t>
      </w:r>
      <w:hyperlink r:id="rId4" w:history="1">
        <w:r w:rsidRPr="0033430F">
          <w:rPr>
            <w:rStyle w:val="Hyperlink"/>
            <w:sz w:val="18"/>
            <w:szCs w:val="18"/>
            <w:lang w:val="en-AU"/>
          </w:rPr>
          <w:t>SD2</w:t>
        </w:r>
      </w:hyperlink>
      <w:r w:rsidRPr="0033430F">
        <w:rPr>
          <w:sz w:val="18"/>
          <w:szCs w:val="18"/>
          <w:lang w:val="en-AU"/>
        </w:rPr>
        <w:t xml:space="preserve"> and </w:t>
      </w:r>
      <w:hyperlink r:id="rId5" w:history="1">
        <w:r w:rsidRPr="0033430F">
          <w:rPr>
            <w:rStyle w:val="Hyperlink"/>
            <w:sz w:val="18"/>
            <w:szCs w:val="18"/>
            <w:lang w:val="en-AU"/>
          </w:rPr>
          <w:t>SD7</w:t>
        </w:r>
      </w:hyperlink>
      <w:r w:rsidRPr="0033430F">
        <w:rPr>
          <w:sz w:val="18"/>
          <w:szCs w:val="18"/>
          <w:lang w:val="en-AU"/>
        </w:rPr>
        <w:t xml:space="preserve"> respectively) to the </w:t>
      </w:r>
      <w:hyperlink r:id="rId6" w:history="1">
        <w:r w:rsidRPr="0033430F">
          <w:rPr>
            <w:rStyle w:val="Hyperlink"/>
            <w:sz w:val="18"/>
            <w:szCs w:val="18"/>
            <w:lang w:val="en-AU"/>
          </w:rPr>
          <w:t>Consultation Paper</w:t>
        </w:r>
      </w:hyperlink>
      <w:r w:rsidRPr="0033430F">
        <w:rPr>
          <w:rStyle w:val="Hyperlink"/>
          <w:sz w:val="18"/>
          <w:szCs w:val="18"/>
          <w:lang w:val="en-AU"/>
        </w:rPr>
        <w:t xml:space="preserve">: </w:t>
      </w:r>
      <w:r w:rsidRPr="0033430F">
        <w:rPr>
          <w:sz w:val="18"/>
          <w:szCs w:val="18"/>
          <w:lang w:val="en-AU"/>
        </w:rPr>
        <w:t xml:space="preserve"> </w:t>
      </w:r>
      <w:hyperlink r:id="rId7" w:history="1">
        <w:r w:rsidRPr="0033430F">
          <w:rPr>
            <w:rStyle w:val="Hyperlink"/>
            <w:sz w:val="18"/>
            <w:szCs w:val="18"/>
            <w:lang w:val="en-AU"/>
          </w:rPr>
          <w:t>http://www.foodstandards.gov.au/code/proposals/Pages/P1034ChemicalMigrationfromPackagingintoFood.aspx</w:t>
        </w:r>
      </w:hyperlink>
    </w:p>
  </w:footnote>
  <w:footnote w:id="9">
    <w:p w14:paraId="6AC182BB" w14:textId="0EBB87EC" w:rsidR="00F264B0" w:rsidRPr="0033430F" w:rsidRDefault="00F264B0" w:rsidP="00F264B0">
      <w:pPr>
        <w:pStyle w:val="FootnoteText"/>
        <w:rPr>
          <w:sz w:val="18"/>
          <w:szCs w:val="18"/>
          <w:lang w:val="en-AU"/>
        </w:rPr>
      </w:pPr>
      <w:r w:rsidRPr="0033430F">
        <w:rPr>
          <w:rStyle w:val="FootnoteReference"/>
          <w:sz w:val="18"/>
          <w:szCs w:val="18"/>
        </w:rPr>
        <w:footnoteRef/>
      </w:r>
      <w:r w:rsidR="00DD6322">
        <w:rPr>
          <w:sz w:val="18"/>
          <w:szCs w:val="18"/>
        </w:rPr>
        <w:t xml:space="preserve"> </w:t>
      </w:r>
      <w:r w:rsidRPr="0033430F">
        <w:rPr>
          <w:sz w:val="18"/>
          <w:szCs w:val="18"/>
          <w:lang w:val="en-AU"/>
        </w:rPr>
        <w:t>Source: Australian Bureau of Statistics (ABS)</w:t>
      </w:r>
    </w:p>
  </w:footnote>
  <w:footnote w:id="10">
    <w:p w14:paraId="1CC12C35" w14:textId="0A7EC718" w:rsidR="00F264B0" w:rsidRPr="0033430F" w:rsidRDefault="00F264B0" w:rsidP="00F264B0">
      <w:pPr>
        <w:pStyle w:val="FootnoteText"/>
        <w:rPr>
          <w:sz w:val="18"/>
          <w:szCs w:val="18"/>
          <w:lang w:val="en-AU"/>
        </w:rPr>
      </w:pPr>
      <w:r w:rsidRPr="0033430F">
        <w:rPr>
          <w:rStyle w:val="FootnoteReference"/>
          <w:sz w:val="18"/>
          <w:szCs w:val="18"/>
        </w:rPr>
        <w:footnoteRef/>
      </w:r>
      <w:r w:rsidR="00DD6322">
        <w:rPr>
          <w:sz w:val="18"/>
          <w:szCs w:val="18"/>
        </w:rPr>
        <w:t xml:space="preserve"> V</w:t>
      </w:r>
      <w:r w:rsidRPr="0033430F">
        <w:rPr>
          <w:sz w:val="18"/>
          <w:szCs w:val="18"/>
          <w:lang w:val="en-AU"/>
        </w:rPr>
        <w:t>alues provided are deflated customs values for the sum of sub-categories of materials that may be used for food packaging.</w:t>
      </w:r>
    </w:p>
  </w:footnote>
  <w:footnote w:id="11">
    <w:p w14:paraId="39C9B2CA" w14:textId="77777777" w:rsidR="00F264B0" w:rsidRPr="0033430F" w:rsidRDefault="00F264B0" w:rsidP="00F264B0">
      <w:pPr>
        <w:pStyle w:val="FootnoteText"/>
        <w:rPr>
          <w:sz w:val="18"/>
          <w:szCs w:val="18"/>
          <w:lang w:val="en-AU"/>
        </w:rPr>
      </w:pPr>
      <w:r w:rsidRPr="0033430F">
        <w:rPr>
          <w:rStyle w:val="FootnoteReference"/>
          <w:sz w:val="18"/>
          <w:szCs w:val="18"/>
        </w:rPr>
        <w:footnoteRef/>
      </w:r>
      <w:r w:rsidRPr="0033430F">
        <w:rPr>
          <w:sz w:val="18"/>
          <w:szCs w:val="18"/>
          <w:lang w:val="en-AU"/>
        </w:rPr>
        <w:t xml:space="preserve"> FSANZ does not have information on the final use of the packaging materials.</w:t>
      </w:r>
    </w:p>
  </w:footnote>
  <w:footnote w:id="12">
    <w:p w14:paraId="09DCB871" w14:textId="77777777" w:rsidR="00F264B0" w:rsidRPr="00415A26" w:rsidRDefault="00F264B0" w:rsidP="00F264B0">
      <w:pPr>
        <w:pStyle w:val="FootnoteText"/>
        <w:rPr>
          <w:lang w:val="en-AU"/>
        </w:rPr>
      </w:pPr>
      <w:r w:rsidRPr="0033430F">
        <w:rPr>
          <w:rStyle w:val="FootnoteReference"/>
          <w:sz w:val="18"/>
          <w:szCs w:val="18"/>
        </w:rPr>
        <w:footnoteRef/>
      </w:r>
      <w:r w:rsidRPr="0033430F">
        <w:rPr>
          <w:sz w:val="18"/>
          <w:szCs w:val="18"/>
        </w:rPr>
        <w:t xml:space="preserve"> </w:t>
      </w:r>
      <w:r w:rsidRPr="0033430F">
        <w:rPr>
          <w:sz w:val="18"/>
          <w:szCs w:val="18"/>
          <w:lang w:val="en-AU"/>
        </w:rPr>
        <w:t>Euromonitor International (January 2014) Packaging Industry in Australia</w:t>
      </w:r>
    </w:p>
  </w:footnote>
  <w:footnote w:id="13">
    <w:p w14:paraId="739C7E58" w14:textId="77777777" w:rsidR="00F264B0" w:rsidRPr="0021251C" w:rsidRDefault="00F264B0" w:rsidP="00F264B0">
      <w:pPr>
        <w:pStyle w:val="FootnoteText"/>
        <w:rPr>
          <w:lang w:val="en-AU"/>
        </w:rPr>
      </w:pPr>
      <w:r>
        <w:rPr>
          <w:rStyle w:val="FootnoteReference"/>
        </w:rPr>
        <w:footnoteRef/>
      </w:r>
      <w:r>
        <w:t xml:space="preserve"> </w:t>
      </w:r>
      <w:r>
        <w:rPr>
          <w:lang w:val="en-AU"/>
        </w:rPr>
        <w:t>Data excludes state administered regions of China and Taiwan.</w:t>
      </w:r>
    </w:p>
  </w:footnote>
  <w:footnote w:id="14">
    <w:p w14:paraId="55A7F81E" w14:textId="77777777" w:rsidR="00F264B0" w:rsidRPr="006B62B0" w:rsidRDefault="00F264B0" w:rsidP="00F264B0">
      <w:pPr>
        <w:pStyle w:val="FootnoteText"/>
        <w:rPr>
          <w:lang w:val="en-AU"/>
        </w:rPr>
      </w:pPr>
      <w:r w:rsidRPr="00492023">
        <w:rPr>
          <w:rStyle w:val="FootnoteReference"/>
          <w:sz w:val="18"/>
        </w:rPr>
        <w:footnoteRef/>
      </w:r>
      <w:r w:rsidRPr="00492023">
        <w:rPr>
          <w:sz w:val="18"/>
        </w:rPr>
        <w:t xml:space="preserve"> </w:t>
      </w:r>
      <w:r w:rsidRPr="00492023">
        <w:rPr>
          <w:sz w:val="18"/>
          <w:lang w:val="en-AU"/>
        </w:rPr>
        <w:t>Euromonitor International (January 2014) Packaging Industry in Australia</w:t>
      </w:r>
    </w:p>
  </w:footnote>
  <w:footnote w:id="15">
    <w:p w14:paraId="27E6845F" w14:textId="77777777" w:rsidR="00F264B0" w:rsidRPr="006B62B0" w:rsidRDefault="00F264B0" w:rsidP="00F264B0">
      <w:pPr>
        <w:pStyle w:val="FootnoteText"/>
        <w:rPr>
          <w:i/>
          <w:lang w:val="en-AU"/>
        </w:rPr>
      </w:pPr>
      <w:r>
        <w:rPr>
          <w:rStyle w:val="FootnoteReference"/>
        </w:rPr>
        <w:footnoteRef/>
      </w:r>
      <w:r>
        <w:t xml:space="preserve"> </w:t>
      </w:r>
      <w:r>
        <w:rPr>
          <w:lang w:val="en-AU"/>
        </w:rPr>
        <w:t xml:space="preserve">Packaging Council of Australia (2005) </w:t>
      </w:r>
      <w:hyperlink r:id="rId8" w:history="1">
        <w:r w:rsidRPr="00AB47AA">
          <w:rPr>
            <w:rStyle w:val="Hyperlink"/>
            <w:lang w:val="en-AU"/>
          </w:rPr>
          <w:t>http://pca.org.au/application/files/4314/3795/7882/00499.pdf</w:t>
        </w:r>
      </w:hyperlink>
      <w:r>
        <w:rPr>
          <w:rStyle w:val="Hyperlink"/>
          <w:lang w:val="en-AU"/>
        </w:rPr>
        <w:t xml:space="preserve"> </w:t>
      </w:r>
      <w:r w:rsidRPr="006B62B0">
        <w:rPr>
          <w:rStyle w:val="Hyperlink"/>
          <w:i/>
          <w:lang w:val="en-AU"/>
        </w:rPr>
        <w:t>accessed on 17.02.2016</w:t>
      </w:r>
    </w:p>
  </w:footnote>
  <w:footnote w:id="16">
    <w:p w14:paraId="5170F273" w14:textId="77777777" w:rsidR="00F264B0" w:rsidRPr="00834101" w:rsidRDefault="00F264B0" w:rsidP="00F264B0">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76030E0"/>
    <w:lvl w:ilvl="0">
      <w:start w:val="1"/>
      <w:numFmt w:val="decimal"/>
      <w:lvlText w:val="%1."/>
      <w:lvlJc w:val="left"/>
      <w:pPr>
        <w:tabs>
          <w:tab w:val="num" w:pos="1492"/>
        </w:tabs>
        <w:ind w:left="1492" w:hanging="360"/>
      </w:pPr>
    </w:lvl>
  </w:abstractNum>
  <w:abstractNum w:abstractNumId="1">
    <w:nsid w:val="FFFFFF7D"/>
    <w:multiLevelType w:val="singleLevel"/>
    <w:tmpl w:val="4AF27BA6"/>
    <w:lvl w:ilvl="0">
      <w:start w:val="1"/>
      <w:numFmt w:val="decimal"/>
      <w:lvlText w:val="%1."/>
      <w:lvlJc w:val="left"/>
      <w:pPr>
        <w:tabs>
          <w:tab w:val="num" w:pos="1209"/>
        </w:tabs>
        <w:ind w:left="1209" w:hanging="360"/>
      </w:pPr>
    </w:lvl>
  </w:abstractNum>
  <w:abstractNum w:abstractNumId="2">
    <w:nsid w:val="FFFFFF7E"/>
    <w:multiLevelType w:val="singleLevel"/>
    <w:tmpl w:val="1BF4ADE8"/>
    <w:lvl w:ilvl="0">
      <w:start w:val="1"/>
      <w:numFmt w:val="decimal"/>
      <w:lvlText w:val="%1."/>
      <w:lvlJc w:val="left"/>
      <w:pPr>
        <w:tabs>
          <w:tab w:val="num" w:pos="926"/>
        </w:tabs>
        <w:ind w:left="926" w:hanging="360"/>
      </w:pPr>
    </w:lvl>
  </w:abstractNum>
  <w:abstractNum w:abstractNumId="3">
    <w:nsid w:val="FFFFFF7F"/>
    <w:multiLevelType w:val="singleLevel"/>
    <w:tmpl w:val="077091E8"/>
    <w:lvl w:ilvl="0">
      <w:start w:val="1"/>
      <w:numFmt w:val="decimal"/>
      <w:lvlText w:val="%1."/>
      <w:lvlJc w:val="left"/>
      <w:pPr>
        <w:tabs>
          <w:tab w:val="num" w:pos="643"/>
        </w:tabs>
        <w:ind w:left="643" w:hanging="360"/>
      </w:pPr>
    </w:lvl>
  </w:abstractNum>
  <w:abstractNum w:abstractNumId="4">
    <w:nsid w:val="FFFFFF80"/>
    <w:multiLevelType w:val="singleLevel"/>
    <w:tmpl w:val="4F5A8FB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2D673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540A3F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9067F3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19A47CE"/>
    <w:lvl w:ilvl="0">
      <w:start w:val="1"/>
      <w:numFmt w:val="decimal"/>
      <w:lvlText w:val="%1."/>
      <w:lvlJc w:val="left"/>
      <w:pPr>
        <w:tabs>
          <w:tab w:val="num" w:pos="360"/>
        </w:tabs>
        <w:ind w:left="360" w:hanging="360"/>
      </w:pPr>
    </w:lvl>
  </w:abstractNum>
  <w:abstractNum w:abstractNumId="9">
    <w:nsid w:val="FFFFFF89"/>
    <w:multiLevelType w:val="singleLevel"/>
    <w:tmpl w:val="A0E02A20"/>
    <w:lvl w:ilvl="0">
      <w:start w:val="1"/>
      <w:numFmt w:val="bullet"/>
      <w:lvlText w:val=""/>
      <w:lvlJc w:val="left"/>
      <w:pPr>
        <w:tabs>
          <w:tab w:val="num" w:pos="360"/>
        </w:tabs>
        <w:ind w:left="360" w:hanging="360"/>
      </w:pPr>
      <w:rPr>
        <w:rFonts w:ascii="Symbol" w:hAnsi="Symbol" w:hint="default"/>
      </w:rPr>
    </w:lvl>
  </w:abstractNum>
  <w:abstractNum w:abstractNumId="1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1">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1D60D3D"/>
    <w:multiLevelType w:val="hybridMultilevel"/>
    <w:tmpl w:val="03A42BAE"/>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44042D2"/>
    <w:multiLevelType w:val="singleLevel"/>
    <w:tmpl w:val="08F62FD2"/>
    <w:lvl w:ilvl="0">
      <w:start w:val="1"/>
      <w:numFmt w:val="bullet"/>
      <w:lvlText w:val="·"/>
      <w:lvlJc w:val="left"/>
      <w:pPr>
        <w:tabs>
          <w:tab w:val="num" w:pos="680"/>
        </w:tabs>
        <w:ind w:left="680" w:hanging="680"/>
      </w:pPr>
      <w:rPr>
        <w:rFonts w:ascii="Symbol" w:hAnsi="Symbol" w:hint="default"/>
      </w:rPr>
    </w:lvl>
  </w:abstractNum>
  <w:abstractNum w:abstractNumId="15">
    <w:nsid w:val="08875667"/>
    <w:multiLevelType w:val="hybridMultilevel"/>
    <w:tmpl w:val="F18880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090B2E2C"/>
    <w:multiLevelType w:val="hybridMultilevel"/>
    <w:tmpl w:val="F1BEB6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0B125D2A"/>
    <w:multiLevelType w:val="hybridMultilevel"/>
    <w:tmpl w:val="B45CA966"/>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0F8061BC"/>
    <w:multiLevelType w:val="multilevel"/>
    <w:tmpl w:val="46A6E3D0"/>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9">
    <w:nsid w:val="11687346"/>
    <w:multiLevelType w:val="hybridMultilevel"/>
    <w:tmpl w:val="4006A6A0"/>
    <w:lvl w:ilvl="0" w:tplc="F7E2334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nsid w:val="1AFB4C7A"/>
    <w:multiLevelType w:val="multilevel"/>
    <w:tmpl w:val="42ECE2EE"/>
    <w:lvl w:ilvl="0">
      <w:start w:val="1"/>
      <w:numFmt w:val="decimal"/>
      <w:lvlText w:val="%1."/>
      <w:lvlJc w:val="left"/>
      <w:pPr>
        <w:tabs>
          <w:tab w:val="num" w:pos="851"/>
        </w:tabs>
        <w:ind w:left="851" w:hanging="851"/>
      </w:pPr>
      <w:rPr>
        <w:rFonts w:ascii="Times New Roman Bold" w:hAnsi="Times New Roman Bold" w:hint="default"/>
        <w:b/>
        <w:i w:val="0"/>
        <w:sz w:val="28"/>
      </w:rPr>
    </w:lvl>
    <w:lvl w:ilvl="1">
      <w:start w:val="1"/>
      <w:numFmt w:val="decimal"/>
      <w:lvlText w:val="%1.%2"/>
      <w:lvlJc w:val="left"/>
      <w:pPr>
        <w:tabs>
          <w:tab w:val="num" w:pos="851"/>
        </w:tabs>
        <w:ind w:left="851" w:hanging="851"/>
      </w:pPr>
      <w:rPr>
        <w:rFonts w:ascii="Times New Roman Bold" w:hAnsi="Times New Roman Bold" w:hint="default"/>
        <w:b/>
        <w:i w:val="0"/>
        <w:caps w:val="0"/>
        <w:color w:val="auto"/>
        <w:sz w:val="24"/>
      </w:rPr>
    </w:lvl>
    <w:lvl w:ilvl="2">
      <w:start w:val="1"/>
      <w:numFmt w:val="decimal"/>
      <w:lvlText w:val="%1.%2.%3"/>
      <w:lvlJc w:val="left"/>
      <w:pPr>
        <w:tabs>
          <w:tab w:val="num" w:pos="851"/>
        </w:tabs>
        <w:ind w:left="851" w:hanging="851"/>
      </w:pPr>
      <w:rPr>
        <w:rFonts w:ascii="Times New Roman" w:hAnsi="Times New Roman" w:hint="default"/>
        <w:b w:val="0"/>
        <w:i/>
        <w:sz w:val="24"/>
        <w:u w:val="none"/>
      </w:rPr>
    </w:lvl>
    <w:lvl w:ilvl="3">
      <w:start w:val="1"/>
      <w:numFmt w:val="decimal"/>
      <w:lvlText w:val="%1.%2.%3.%4"/>
      <w:lvlJc w:val="left"/>
      <w:pPr>
        <w:tabs>
          <w:tab w:val="num" w:pos="851"/>
        </w:tabs>
        <w:ind w:left="851" w:hanging="851"/>
      </w:pPr>
      <w:rPr>
        <w:rFonts w:hint="default"/>
        <w:b w:val="0"/>
        <w:i/>
        <w:sz w:val="24"/>
        <w:u w:val="none"/>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2">
    <w:nsid w:val="1B82713A"/>
    <w:multiLevelType w:val="hybridMultilevel"/>
    <w:tmpl w:val="2A86A6A8"/>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1E740164"/>
    <w:multiLevelType w:val="hybridMultilevel"/>
    <w:tmpl w:val="09CC2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29816A14"/>
    <w:multiLevelType w:val="hybridMultilevel"/>
    <w:tmpl w:val="84AAED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386E1F4C"/>
    <w:multiLevelType w:val="hybridMultilevel"/>
    <w:tmpl w:val="324CD5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92327BD"/>
    <w:multiLevelType w:val="hybridMultilevel"/>
    <w:tmpl w:val="59BE2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AF918BD"/>
    <w:multiLevelType w:val="hybridMultilevel"/>
    <w:tmpl w:val="6C20914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EDF413D"/>
    <w:multiLevelType w:val="hybridMultilevel"/>
    <w:tmpl w:val="DD964D8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1">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43DB599A"/>
    <w:multiLevelType w:val="hybridMultilevel"/>
    <w:tmpl w:val="49B0609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33">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42C2125"/>
    <w:multiLevelType w:val="hybridMultilevel"/>
    <w:tmpl w:val="92402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6">
    <w:nsid w:val="5021533C"/>
    <w:multiLevelType w:val="hybridMultilevel"/>
    <w:tmpl w:val="21C4ADAE"/>
    <w:lvl w:ilvl="0" w:tplc="D4067698">
      <w:start w:val="6"/>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7">
    <w:nsid w:val="53D1534F"/>
    <w:multiLevelType w:val="multilevel"/>
    <w:tmpl w:val="1D62B9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598D4AAA"/>
    <w:multiLevelType w:val="hybridMultilevel"/>
    <w:tmpl w:val="699059C8"/>
    <w:lvl w:ilvl="0" w:tplc="9886F1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24953AF"/>
    <w:multiLevelType w:val="hybridMultilevel"/>
    <w:tmpl w:val="70A869FA"/>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C303099"/>
    <w:multiLevelType w:val="hybridMultilevel"/>
    <w:tmpl w:val="279C17C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77A5C5E"/>
    <w:multiLevelType w:val="hybridMultilevel"/>
    <w:tmpl w:val="E192367E"/>
    <w:lvl w:ilvl="0" w:tplc="04090001">
      <w:start w:val="1"/>
      <w:numFmt w:val="bullet"/>
      <w:lvlText w:val=""/>
      <w:lvlJc w:val="left"/>
      <w:pPr>
        <w:tabs>
          <w:tab w:val="num" w:pos="360"/>
        </w:tabs>
        <w:ind w:left="360" w:hanging="360"/>
      </w:pPr>
      <w:rPr>
        <w:rFonts w:ascii="Symbol" w:hAnsi="Symbol" w:hint="default"/>
      </w:rPr>
    </w:lvl>
    <w:lvl w:ilvl="1" w:tplc="EDFC7DEC">
      <w:start w:val="2"/>
      <w:numFmt w:val="decimal"/>
      <w:lvlText w:val="(%2)"/>
      <w:lvlJc w:val="left"/>
      <w:pPr>
        <w:tabs>
          <w:tab w:val="num" w:pos="1800"/>
        </w:tabs>
        <w:ind w:left="1800" w:hanging="720"/>
      </w:pPr>
    </w:lvl>
    <w:lvl w:ilvl="2" w:tplc="1154481A">
      <w:start w:val="14"/>
      <w:numFmt w:val="decimal"/>
      <w:lvlText w:val="%3"/>
      <w:lvlJc w:val="left"/>
      <w:pPr>
        <w:tabs>
          <w:tab w:val="num" w:pos="2700"/>
        </w:tabs>
        <w:ind w:left="2700" w:hanging="720"/>
      </w:pPr>
    </w:lvl>
    <w:lvl w:ilvl="3" w:tplc="53B6E002">
      <w:start w:val="1"/>
      <w:numFmt w:val="decimal"/>
      <w:lvlText w:val="%4)"/>
      <w:lvlJc w:val="left"/>
      <w:pPr>
        <w:tabs>
          <w:tab w:val="num" w:pos="717"/>
        </w:tabs>
        <w:ind w:left="680" w:hanging="323"/>
      </w:pPr>
    </w:lvl>
    <w:lvl w:ilvl="4" w:tplc="D36A3420">
      <w:start w:val="10"/>
      <w:numFmt w:val="decimal"/>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7E8E55DE"/>
    <w:multiLevelType w:val="hybridMultilevel"/>
    <w:tmpl w:val="DDA6AAC2"/>
    <w:lvl w:ilvl="0" w:tplc="0CE4089E">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42"/>
  </w:num>
  <w:num w:numId="2">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41"/>
    <w:lvlOverride w:ilvl="0"/>
    <w:lvlOverride w:ilvl="1">
      <w:startOverride w:val="2"/>
    </w:lvlOverride>
    <w:lvlOverride w:ilvl="2">
      <w:startOverride w:val="1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2"/>
  </w:num>
  <w:num w:numId="13">
    <w:abstractNumId w:val="40"/>
  </w:num>
  <w:num w:numId="14">
    <w:abstractNumId w:val="29"/>
  </w:num>
  <w:num w:numId="15">
    <w:abstractNumId w:val="39"/>
  </w:num>
  <w:num w:numId="16">
    <w:abstractNumId w:val="19"/>
  </w:num>
  <w:num w:numId="17">
    <w:abstractNumId w:val="13"/>
  </w:num>
  <w:num w:numId="18">
    <w:abstractNumId w:val="10"/>
  </w:num>
  <w:num w:numId="19">
    <w:abstractNumId w:val="32"/>
  </w:num>
  <w:num w:numId="20">
    <w:abstractNumId w:val="17"/>
  </w:num>
  <w:num w:numId="21">
    <w:abstractNumId w:val="43"/>
  </w:num>
  <w:num w:numId="22">
    <w:abstractNumId w:val="38"/>
  </w:num>
  <w:num w:numId="23">
    <w:abstractNumId w:val="21"/>
  </w:num>
  <w:num w:numId="24">
    <w:abstractNumId w:val="23"/>
  </w:num>
  <w:num w:numId="25">
    <w:abstractNumId w:val="37"/>
  </w:num>
  <w:num w:numId="26">
    <w:abstractNumId w:val="37"/>
  </w:num>
  <w:num w:numId="27">
    <w:abstractNumId w:val="28"/>
  </w:num>
  <w:num w:numId="28">
    <w:abstractNumId w:val="33"/>
  </w:num>
  <w:num w:numId="29">
    <w:abstractNumId w:val="34"/>
  </w:num>
  <w:num w:numId="30">
    <w:abstractNumId w:val="26"/>
  </w:num>
  <w:num w:numId="31">
    <w:abstractNumId w:val="24"/>
  </w:num>
  <w:num w:numId="32">
    <w:abstractNumId w:val="12"/>
  </w:num>
  <w:num w:numId="33">
    <w:abstractNumId w:val="18"/>
  </w:num>
  <w:num w:numId="34">
    <w:abstractNumId w:val="14"/>
  </w:num>
  <w:num w:numId="35">
    <w:abstractNumId w:val="30"/>
  </w:num>
  <w:num w:numId="36">
    <w:abstractNumId w:val="27"/>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 w:numId="47">
    <w:abstractNumId w:val="25"/>
  </w:num>
  <w:num w:numId="48">
    <w:abstractNumId w:val="35"/>
  </w:num>
  <w:num w:numId="49">
    <w:abstractNumId w:val="20"/>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69B"/>
    <w:rsid w:val="00035FF3"/>
    <w:rsid w:val="00051021"/>
    <w:rsid w:val="00051ED9"/>
    <w:rsid w:val="00057181"/>
    <w:rsid w:val="0006473A"/>
    <w:rsid w:val="00064B2D"/>
    <w:rsid w:val="00065F1F"/>
    <w:rsid w:val="00076D33"/>
    <w:rsid w:val="00092CDA"/>
    <w:rsid w:val="000A27E9"/>
    <w:rsid w:val="000A3D8B"/>
    <w:rsid w:val="000A5DF8"/>
    <w:rsid w:val="000B6AF2"/>
    <w:rsid w:val="000D6FD4"/>
    <w:rsid w:val="000E0AE4"/>
    <w:rsid w:val="000E3DBC"/>
    <w:rsid w:val="00113CE3"/>
    <w:rsid w:val="00117522"/>
    <w:rsid w:val="001542D8"/>
    <w:rsid w:val="00160A65"/>
    <w:rsid w:val="00180C41"/>
    <w:rsid w:val="00182C4C"/>
    <w:rsid w:val="00197D8D"/>
    <w:rsid w:val="001A1A75"/>
    <w:rsid w:val="001A7E9A"/>
    <w:rsid w:val="001C27A3"/>
    <w:rsid w:val="001C5295"/>
    <w:rsid w:val="001E09FA"/>
    <w:rsid w:val="00203540"/>
    <w:rsid w:val="0021612B"/>
    <w:rsid w:val="0022083A"/>
    <w:rsid w:val="00221D07"/>
    <w:rsid w:val="00227E4A"/>
    <w:rsid w:val="0024582E"/>
    <w:rsid w:val="00245C56"/>
    <w:rsid w:val="002547EF"/>
    <w:rsid w:val="00256D65"/>
    <w:rsid w:val="00271F00"/>
    <w:rsid w:val="00273A80"/>
    <w:rsid w:val="0029204E"/>
    <w:rsid w:val="0029631C"/>
    <w:rsid w:val="002A0194"/>
    <w:rsid w:val="002A3314"/>
    <w:rsid w:val="002A5F8B"/>
    <w:rsid w:val="002A7F6C"/>
    <w:rsid w:val="002D6809"/>
    <w:rsid w:val="002F6488"/>
    <w:rsid w:val="00320839"/>
    <w:rsid w:val="003213F9"/>
    <w:rsid w:val="00323DBF"/>
    <w:rsid w:val="00326D85"/>
    <w:rsid w:val="003301A9"/>
    <w:rsid w:val="003309A8"/>
    <w:rsid w:val="00332B12"/>
    <w:rsid w:val="00351B07"/>
    <w:rsid w:val="00352CF2"/>
    <w:rsid w:val="00364841"/>
    <w:rsid w:val="00371B29"/>
    <w:rsid w:val="0037656B"/>
    <w:rsid w:val="00391769"/>
    <w:rsid w:val="003953E1"/>
    <w:rsid w:val="003956B3"/>
    <w:rsid w:val="003A68BE"/>
    <w:rsid w:val="003B1805"/>
    <w:rsid w:val="003B3C9D"/>
    <w:rsid w:val="003B78E0"/>
    <w:rsid w:val="003C4969"/>
    <w:rsid w:val="003E41D5"/>
    <w:rsid w:val="003E46BA"/>
    <w:rsid w:val="003E7D22"/>
    <w:rsid w:val="003F74C1"/>
    <w:rsid w:val="00405B1A"/>
    <w:rsid w:val="00410C76"/>
    <w:rsid w:val="00411907"/>
    <w:rsid w:val="00413CA8"/>
    <w:rsid w:val="00417EE3"/>
    <w:rsid w:val="004207EB"/>
    <w:rsid w:val="00437276"/>
    <w:rsid w:val="00456B54"/>
    <w:rsid w:val="00464643"/>
    <w:rsid w:val="00486793"/>
    <w:rsid w:val="004A2037"/>
    <w:rsid w:val="004C2CE7"/>
    <w:rsid w:val="004F0C95"/>
    <w:rsid w:val="004F4F98"/>
    <w:rsid w:val="004F69F6"/>
    <w:rsid w:val="004F79AC"/>
    <w:rsid w:val="005017CF"/>
    <w:rsid w:val="0052038F"/>
    <w:rsid w:val="005207D8"/>
    <w:rsid w:val="0053464E"/>
    <w:rsid w:val="0054272D"/>
    <w:rsid w:val="00562917"/>
    <w:rsid w:val="00586228"/>
    <w:rsid w:val="005A1D97"/>
    <w:rsid w:val="005A58F3"/>
    <w:rsid w:val="005B6AF4"/>
    <w:rsid w:val="005B7A73"/>
    <w:rsid w:val="005C04CB"/>
    <w:rsid w:val="005D16AD"/>
    <w:rsid w:val="005D72E1"/>
    <w:rsid w:val="005E6E16"/>
    <w:rsid w:val="005F400E"/>
    <w:rsid w:val="005F7342"/>
    <w:rsid w:val="00603A08"/>
    <w:rsid w:val="00610A3C"/>
    <w:rsid w:val="00627F48"/>
    <w:rsid w:val="00630C23"/>
    <w:rsid w:val="006460AB"/>
    <w:rsid w:val="00663FCF"/>
    <w:rsid w:val="006652A2"/>
    <w:rsid w:val="00690206"/>
    <w:rsid w:val="006937FF"/>
    <w:rsid w:val="006A48A7"/>
    <w:rsid w:val="006B4BA1"/>
    <w:rsid w:val="006B5EBE"/>
    <w:rsid w:val="006C5CF5"/>
    <w:rsid w:val="006F4A82"/>
    <w:rsid w:val="0070373B"/>
    <w:rsid w:val="00724FA4"/>
    <w:rsid w:val="00730800"/>
    <w:rsid w:val="007602AA"/>
    <w:rsid w:val="007652EF"/>
    <w:rsid w:val="00772BDC"/>
    <w:rsid w:val="00780792"/>
    <w:rsid w:val="00796562"/>
    <w:rsid w:val="007A44B4"/>
    <w:rsid w:val="007A7D3D"/>
    <w:rsid w:val="007B225D"/>
    <w:rsid w:val="007C174F"/>
    <w:rsid w:val="007C1C64"/>
    <w:rsid w:val="007D03EA"/>
    <w:rsid w:val="007E48BC"/>
    <w:rsid w:val="007E79F7"/>
    <w:rsid w:val="007F3630"/>
    <w:rsid w:val="00807559"/>
    <w:rsid w:val="008450BC"/>
    <w:rsid w:val="0085334B"/>
    <w:rsid w:val="00870214"/>
    <w:rsid w:val="00885C51"/>
    <w:rsid w:val="00885EB0"/>
    <w:rsid w:val="00891F4B"/>
    <w:rsid w:val="0089264A"/>
    <w:rsid w:val="00896B85"/>
    <w:rsid w:val="008A22BE"/>
    <w:rsid w:val="008C1B36"/>
    <w:rsid w:val="008D06C6"/>
    <w:rsid w:val="008E291C"/>
    <w:rsid w:val="008E6250"/>
    <w:rsid w:val="00902AF6"/>
    <w:rsid w:val="00920249"/>
    <w:rsid w:val="00924C80"/>
    <w:rsid w:val="00932F14"/>
    <w:rsid w:val="0094247F"/>
    <w:rsid w:val="00942D60"/>
    <w:rsid w:val="0096523B"/>
    <w:rsid w:val="00966EE3"/>
    <w:rsid w:val="00972D06"/>
    <w:rsid w:val="009A391C"/>
    <w:rsid w:val="009A50F2"/>
    <w:rsid w:val="009E0A61"/>
    <w:rsid w:val="009E3010"/>
    <w:rsid w:val="009F007E"/>
    <w:rsid w:val="009F7065"/>
    <w:rsid w:val="00A4175D"/>
    <w:rsid w:val="00A56DC7"/>
    <w:rsid w:val="00A74FD1"/>
    <w:rsid w:val="00A77BFA"/>
    <w:rsid w:val="00A84A58"/>
    <w:rsid w:val="00AF06FC"/>
    <w:rsid w:val="00AF3391"/>
    <w:rsid w:val="00AF387F"/>
    <w:rsid w:val="00B00E7F"/>
    <w:rsid w:val="00B12F1E"/>
    <w:rsid w:val="00B173DA"/>
    <w:rsid w:val="00B21DCC"/>
    <w:rsid w:val="00B25F37"/>
    <w:rsid w:val="00B37BF0"/>
    <w:rsid w:val="00B44422"/>
    <w:rsid w:val="00B46EA0"/>
    <w:rsid w:val="00B731D3"/>
    <w:rsid w:val="00B839A3"/>
    <w:rsid w:val="00B902BD"/>
    <w:rsid w:val="00BA24E2"/>
    <w:rsid w:val="00BD2A39"/>
    <w:rsid w:val="00BD2E80"/>
    <w:rsid w:val="00BE11B8"/>
    <w:rsid w:val="00BF7FF0"/>
    <w:rsid w:val="00C057F4"/>
    <w:rsid w:val="00C12502"/>
    <w:rsid w:val="00C36578"/>
    <w:rsid w:val="00C40AA5"/>
    <w:rsid w:val="00C46F70"/>
    <w:rsid w:val="00C476D0"/>
    <w:rsid w:val="00C61AC1"/>
    <w:rsid w:val="00C836E3"/>
    <w:rsid w:val="00C86577"/>
    <w:rsid w:val="00C92E07"/>
    <w:rsid w:val="00C96868"/>
    <w:rsid w:val="00CA0416"/>
    <w:rsid w:val="00CC560B"/>
    <w:rsid w:val="00CC75E2"/>
    <w:rsid w:val="00CD46EB"/>
    <w:rsid w:val="00CD7EBF"/>
    <w:rsid w:val="00D056F1"/>
    <w:rsid w:val="00D11171"/>
    <w:rsid w:val="00D22F3C"/>
    <w:rsid w:val="00D23DB6"/>
    <w:rsid w:val="00D43FE6"/>
    <w:rsid w:val="00D51A95"/>
    <w:rsid w:val="00D60568"/>
    <w:rsid w:val="00D70C7A"/>
    <w:rsid w:val="00D81D38"/>
    <w:rsid w:val="00D9620E"/>
    <w:rsid w:val="00DA10A8"/>
    <w:rsid w:val="00DB1E08"/>
    <w:rsid w:val="00DB2973"/>
    <w:rsid w:val="00DC1B56"/>
    <w:rsid w:val="00DC2129"/>
    <w:rsid w:val="00DC6570"/>
    <w:rsid w:val="00DD3C5E"/>
    <w:rsid w:val="00DD6322"/>
    <w:rsid w:val="00DF25C3"/>
    <w:rsid w:val="00E04062"/>
    <w:rsid w:val="00E063C6"/>
    <w:rsid w:val="00E066BA"/>
    <w:rsid w:val="00E2003B"/>
    <w:rsid w:val="00E203C2"/>
    <w:rsid w:val="00E279D8"/>
    <w:rsid w:val="00E319B1"/>
    <w:rsid w:val="00E44E0D"/>
    <w:rsid w:val="00E5492F"/>
    <w:rsid w:val="00E55103"/>
    <w:rsid w:val="00E62DEF"/>
    <w:rsid w:val="00E70A86"/>
    <w:rsid w:val="00E777EC"/>
    <w:rsid w:val="00E80FCD"/>
    <w:rsid w:val="00EA7F2F"/>
    <w:rsid w:val="00EC00DE"/>
    <w:rsid w:val="00EC30E1"/>
    <w:rsid w:val="00ED172A"/>
    <w:rsid w:val="00F11F6C"/>
    <w:rsid w:val="00F14BEC"/>
    <w:rsid w:val="00F225C5"/>
    <w:rsid w:val="00F2587A"/>
    <w:rsid w:val="00F264B0"/>
    <w:rsid w:val="00F3715D"/>
    <w:rsid w:val="00F420C8"/>
    <w:rsid w:val="00F42A4C"/>
    <w:rsid w:val="00F604DE"/>
    <w:rsid w:val="00FB7512"/>
    <w:rsid w:val="00FD7547"/>
    <w:rsid w:val="00FE7C14"/>
    <w:rsid w:val="00FF5F5C"/>
    <w:rsid w:val="00FF6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8C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5" w:qFormat="1"/>
    <w:lsdException w:name="header" w:uiPriority="3" w:qFormat="1"/>
    <w:lsdException w:name="footer" w:uiPriority="99" w:qFormat="1"/>
    <w:lsdException w:name="caption" w:semiHidden="1" w:unhideWhenUsed="1"/>
    <w:lsdException w:name="footnote reference" w:uiPriority="99"/>
    <w:lsdException w:name="Title" w:uiPriority="10"/>
    <w:lsdException w:name="Subtitle" w:uiPriority="11"/>
    <w:lsdException w:name="Hyperlink" w:uiPriority="99"/>
    <w:lsdException w:name="Strong" w:uiPriority="22"/>
    <w:lsdException w:name="Emphasis" w:uiPriority="20"/>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rsid w:val="00F264B0"/>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2"/>
    <w:unhideWhenUsed/>
    <w:qFormat/>
    <w:rsid w:val="00F264B0"/>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F264B0"/>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F264B0"/>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F264B0"/>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F264B0"/>
    <w:rPr>
      <w:rFonts w:ascii="Arial" w:eastAsiaTheme="majorEastAsia" w:hAnsi="Arial" w:cstheme="majorBidi"/>
      <w:b/>
      <w:bCs/>
      <w:sz w:val="36"/>
      <w:szCs w:val="28"/>
      <w:lang w:eastAsia="en-US"/>
    </w:rPr>
  </w:style>
  <w:style w:type="character" w:customStyle="1" w:styleId="Heading2Char">
    <w:name w:val="Heading 2 Char"/>
    <w:aliases w:val="FSHeading 2 Char,Section heading Char"/>
    <w:basedOn w:val="DefaultParagraphFont"/>
    <w:link w:val="Heading2"/>
    <w:uiPriority w:val="2"/>
    <w:rsid w:val="00F264B0"/>
    <w:rPr>
      <w:rFonts w:ascii="Arial" w:eastAsiaTheme="majorEastAsia" w:hAnsi="Arial" w:cs="Arial"/>
      <w:b/>
      <w:bCs/>
      <w:sz w:val="28"/>
      <w:szCs w:val="22"/>
      <w:lang w:eastAsia="en-US"/>
    </w:rPr>
  </w:style>
  <w:style w:type="character" w:customStyle="1" w:styleId="Heading3Char">
    <w:name w:val="Heading 3 Char"/>
    <w:aliases w:val="FSHeading 3 Char,Subheading 1 Char"/>
    <w:basedOn w:val="DefaultParagraphFont"/>
    <w:link w:val="Heading3"/>
    <w:uiPriority w:val="2"/>
    <w:rsid w:val="00F264B0"/>
    <w:rPr>
      <w:rFonts w:ascii="Arial" w:eastAsiaTheme="majorEastAsia" w:hAnsi="Arial" w:cstheme="majorBidi"/>
      <w:b/>
      <w:bCs/>
      <w:sz w:val="22"/>
      <w:szCs w:val="24"/>
      <w:lang w:eastAsia="en-AU"/>
    </w:rPr>
  </w:style>
  <w:style w:type="character" w:customStyle="1" w:styleId="Heading4Char">
    <w:name w:val="Heading 4 Char"/>
    <w:aliases w:val="FSHeading 4 Char,Subheading 2 Char"/>
    <w:basedOn w:val="DefaultParagraphFont"/>
    <w:link w:val="Heading4"/>
    <w:uiPriority w:val="2"/>
    <w:rsid w:val="00F264B0"/>
    <w:rPr>
      <w:rFonts w:ascii="Arial" w:eastAsiaTheme="majorEastAsia" w:hAnsi="Arial" w:cstheme="majorBidi"/>
      <w:b/>
      <w:bCs/>
      <w:i/>
      <w:iCs/>
      <w:sz w:val="22"/>
      <w:szCs w:val="22"/>
      <w:lang w:eastAsia="en-US"/>
    </w:rPr>
  </w:style>
  <w:style w:type="character" w:customStyle="1" w:styleId="Heading5Char">
    <w:name w:val="Heading 5 Char"/>
    <w:aliases w:val="FSHeading 5 Char,Subheading 3 Char"/>
    <w:basedOn w:val="DefaultParagraphFont"/>
    <w:link w:val="Heading5"/>
    <w:uiPriority w:val="2"/>
    <w:rsid w:val="00F264B0"/>
    <w:rPr>
      <w:rFonts w:ascii="Arial" w:eastAsiaTheme="majorEastAsia" w:hAnsi="Arial" w:cstheme="majorBidi"/>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FSHeader"/>
    <w:basedOn w:val="Normal"/>
    <w:link w:val="HeaderChar"/>
    <w:uiPriority w:val="3"/>
    <w:qFormat/>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aliases w:val="FSFooter"/>
    <w:basedOn w:val="Normal"/>
    <w:link w:val="FooterChar"/>
    <w:uiPriority w:val="99"/>
    <w:qFormat/>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
    <w:basedOn w:val="Normal"/>
    <w:link w:val="FootnoteTextChar"/>
    <w:uiPriority w:val="5"/>
    <w:qFormat/>
    <w:rPr>
      <w:sz w:val="20"/>
      <w:szCs w:val="20"/>
    </w:rPr>
  </w:style>
  <w:style w:type="character" w:styleId="FootnoteReference">
    <w:name w:val="footnote reference"/>
    <w:basedOn w:val="DefaultParagraphFont"/>
    <w:uiPriority w:val="99"/>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47"/>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48"/>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9"/>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aliases w:val="FSHeader Char"/>
    <w:basedOn w:val="DefaultParagraphFont"/>
    <w:link w:val="Header"/>
    <w:uiPriority w:val="3"/>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character" w:customStyle="1" w:styleId="FooterChar">
    <w:name w:val="Footer Char"/>
    <w:aliases w:val="FSFooter Char"/>
    <w:basedOn w:val="DefaultParagraphFont"/>
    <w:link w:val="Footer"/>
    <w:uiPriority w:val="99"/>
    <w:rsid w:val="00F264B0"/>
    <w:rPr>
      <w:rFonts w:ascii="Arial" w:hAnsi="Arial"/>
      <w:szCs w:val="24"/>
      <w:lang w:eastAsia="en-US" w:bidi="en-US"/>
    </w:rPr>
  </w:style>
  <w:style w:type="character" w:customStyle="1" w:styleId="FootnoteTextChar">
    <w:name w:val="Footnote Text Char"/>
    <w:aliases w:val="Footnotes Text Char,FSFootnotes Text Char"/>
    <w:basedOn w:val="DefaultParagraphFont"/>
    <w:link w:val="FootnoteText"/>
    <w:uiPriority w:val="5"/>
    <w:rsid w:val="00F264B0"/>
    <w:rPr>
      <w:rFonts w:ascii="Arial" w:hAnsi="Arial"/>
      <w:lang w:eastAsia="en-US" w:bidi="en-US"/>
    </w:rPr>
  </w:style>
  <w:style w:type="table" w:customStyle="1" w:styleId="TableGrid1">
    <w:name w:val="Table Grid1"/>
    <w:basedOn w:val="TableNormal"/>
    <w:next w:val="TableGrid"/>
    <w:uiPriority w:val="59"/>
    <w:rsid w:val="00F264B0"/>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2038F"/>
    <w:pPr>
      <w:widowControl/>
      <w:spacing w:before="100" w:beforeAutospacing="1" w:after="100" w:afterAutospacing="1"/>
    </w:pPr>
    <w:rPr>
      <w:rFonts w:ascii="Times New Roman" w:eastAsiaTheme="minorEastAsia" w:hAnsi="Times New Roman"/>
      <w:sz w:val="24"/>
      <w:lang w:eastAsia="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5" w:qFormat="1"/>
    <w:lsdException w:name="header" w:uiPriority="3" w:qFormat="1"/>
    <w:lsdException w:name="footer" w:uiPriority="99" w:qFormat="1"/>
    <w:lsdException w:name="caption" w:semiHidden="1" w:unhideWhenUsed="1"/>
    <w:lsdException w:name="footnote reference" w:uiPriority="99"/>
    <w:lsdException w:name="Title" w:uiPriority="10"/>
    <w:lsdException w:name="Subtitle" w:uiPriority="11"/>
    <w:lsdException w:name="Hyperlink" w:uiPriority="99"/>
    <w:lsdException w:name="Strong" w:uiPriority="22"/>
    <w:lsdException w:name="Emphasis" w:uiPriority="20"/>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rsid w:val="00F264B0"/>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2"/>
    <w:unhideWhenUsed/>
    <w:qFormat/>
    <w:rsid w:val="00F264B0"/>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F264B0"/>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F264B0"/>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F264B0"/>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F264B0"/>
    <w:rPr>
      <w:rFonts w:ascii="Arial" w:eastAsiaTheme="majorEastAsia" w:hAnsi="Arial" w:cstheme="majorBidi"/>
      <w:b/>
      <w:bCs/>
      <w:sz w:val="36"/>
      <w:szCs w:val="28"/>
      <w:lang w:eastAsia="en-US"/>
    </w:rPr>
  </w:style>
  <w:style w:type="character" w:customStyle="1" w:styleId="Heading2Char">
    <w:name w:val="Heading 2 Char"/>
    <w:aliases w:val="FSHeading 2 Char,Section heading Char"/>
    <w:basedOn w:val="DefaultParagraphFont"/>
    <w:link w:val="Heading2"/>
    <w:uiPriority w:val="2"/>
    <w:rsid w:val="00F264B0"/>
    <w:rPr>
      <w:rFonts w:ascii="Arial" w:eastAsiaTheme="majorEastAsia" w:hAnsi="Arial" w:cs="Arial"/>
      <w:b/>
      <w:bCs/>
      <w:sz w:val="28"/>
      <w:szCs w:val="22"/>
      <w:lang w:eastAsia="en-US"/>
    </w:rPr>
  </w:style>
  <w:style w:type="character" w:customStyle="1" w:styleId="Heading3Char">
    <w:name w:val="Heading 3 Char"/>
    <w:aliases w:val="FSHeading 3 Char,Subheading 1 Char"/>
    <w:basedOn w:val="DefaultParagraphFont"/>
    <w:link w:val="Heading3"/>
    <w:uiPriority w:val="2"/>
    <w:rsid w:val="00F264B0"/>
    <w:rPr>
      <w:rFonts w:ascii="Arial" w:eastAsiaTheme="majorEastAsia" w:hAnsi="Arial" w:cstheme="majorBidi"/>
      <w:b/>
      <w:bCs/>
      <w:sz w:val="22"/>
      <w:szCs w:val="24"/>
      <w:lang w:eastAsia="en-AU"/>
    </w:rPr>
  </w:style>
  <w:style w:type="character" w:customStyle="1" w:styleId="Heading4Char">
    <w:name w:val="Heading 4 Char"/>
    <w:aliases w:val="FSHeading 4 Char,Subheading 2 Char"/>
    <w:basedOn w:val="DefaultParagraphFont"/>
    <w:link w:val="Heading4"/>
    <w:uiPriority w:val="2"/>
    <w:rsid w:val="00F264B0"/>
    <w:rPr>
      <w:rFonts w:ascii="Arial" w:eastAsiaTheme="majorEastAsia" w:hAnsi="Arial" w:cstheme="majorBidi"/>
      <w:b/>
      <w:bCs/>
      <w:i/>
      <w:iCs/>
      <w:sz w:val="22"/>
      <w:szCs w:val="22"/>
      <w:lang w:eastAsia="en-US"/>
    </w:rPr>
  </w:style>
  <w:style w:type="character" w:customStyle="1" w:styleId="Heading5Char">
    <w:name w:val="Heading 5 Char"/>
    <w:aliases w:val="FSHeading 5 Char,Subheading 3 Char"/>
    <w:basedOn w:val="DefaultParagraphFont"/>
    <w:link w:val="Heading5"/>
    <w:uiPriority w:val="2"/>
    <w:rsid w:val="00F264B0"/>
    <w:rPr>
      <w:rFonts w:ascii="Arial" w:eastAsiaTheme="majorEastAsia" w:hAnsi="Arial" w:cstheme="majorBidi"/>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FSHeader"/>
    <w:basedOn w:val="Normal"/>
    <w:link w:val="HeaderChar"/>
    <w:uiPriority w:val="3"/>
    <w:qFormat/>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aliases w:val="FSFooter"/>
    <w:basedOn w:val="Normal"/>
    <w:link w:val="FooterChar"/>
    <w:uiPriority w:val="99"/>
    <w:qFormat/>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
    <w:basedOn w:val="Normal"/>
    <w:link w:val="FootnoteTextChar"/>
    <w:uiPriority w:val="5"/>
    <w:qFormat/>
    <w:rPr>
      <w:sz w:val="20"/>
      <w:szCs w:val="20"/>
    </w:rPr>
  </w:style>
  <w:style w:type="character" w:styleId="FootnoteReference">
    <w:name w:val="footnote reference"/>
    <w:basedOn w:val="DefaultParagraphFont"/>
    <w:uiPriority w:val="99"/>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47"/>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48"/>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9"/>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aliases w:val="FSHeader Char"/>
    <w:basedOn w:val="DefaultParagraphFont"/>
    <w:link w:val="Header"/>
    <w:uiPriority w:val="3"/>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character" w:customStyle="1" w:styleId="FooterChar">
    <w:name w:val="Footer Char"/>
    <w:aliases w:val="FSFooter Char"/>
    <w:basedOn w:val="DefaultParagraphFont"/>
    <w:link w:val="Footer"/>
    <w:uiPriority w:val="99"/>
    <w:rsid w:val="00F264B0"/>
    <w:rPr>
      <w:rFonts w:ascii="Arial" w:hAnsi="Arial"/>
      <w:szCs w:val="24"/>
      <w:lang w:eastAsia="en-US" w:bidi="en-US"/>
    </w:rPr>
  </w:style>
  <w:style w:type="character" w:customStyle="1" w:styleId="FootnoteTextChar">
    <w:name w:val="Footnote Text Char"/>
    <w:aliases w:val="Footnotes Text Char,FSFootnotes Text Char"/>
    <w:basedOn w:val="DefaultParagraphFont"/>
    <w:link w:val="FootnoteText"/>
    <w:uiPriority w:val="5"/>
    <w:rsid w:val="00F264B0"/>
    <w:rPr>
      <w:rFonts w:ascii="Arial" w:hAnsi="Arial"/>
      <w:lang w:eastAsia="en-US" w:bidi="en-US"/>
    </w:rPr>
  </w:style>
  <w:style w:type="table" w:customStyle="1" w:styleId="TableGrid1">
    <w:name w:val="Table Grid1"/>
    <w:basedOn w:val="TableNormal"/>
    <w:next w:val="TableGrid"/>
    <w:uiPriority w:val="59"/>
    <w:rsid w:val="00F264B0"/>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2038F"/>
    <w:pPr>
      <w:widowControl/>
      <w:spacing w:before="100" w:beforeAutospacing="1" w:after="100" w:afterAutospacing="1"/>
    </w:pPr>
    <w:rPr>
      <w:rFonts w:ascii="Times New Roman" w:eastAsiaTheme="minorEastAsia" w:hAnsi="Times New Roman"/>
      <w:sz w:val="24"/>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23" Type="http://schemas.openxmlformats.org/officeDocument/2006/relationships/fontTable" Target="fontTable.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image" Target="media/image6.png"/><Relationship Id="rId22" Type="http://schemas.openxmlformats.org/officeDocument/2006/relationships/image" Target="media/image8.emf"/><Relationship Id="rId9" Type="http://schemas.microsoft.com/office/2007/relationships/stylesWithEffects" Target="stylesWithEffect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pca.org.au/application/files/4314/3795/7882/00499.pdf" TargetMode="External"/><Relationship Id="rId3" Type="http://schemas.openxmlformats.org/officeDocument/2006/relationships/hyperlink" Target="http://www.foodstandards.gov.au/code/proposals/Documents/P1034-Packaging-CFS-SD1.pdf" TargetMode="External"/><Relationship Id="rId7" Type="http://schemas.openxmlformats.org/officeDocument/2006/relationships/hyperlink" Target="http://www.foodstandards.gov.au/code/proposals/Pages/P1034ChemicalMigrationfromPackagingintoFood.aspx" TargetMode="External"/><Relationship Id="rId2" Type="http://schemas.openxmlformats.org/officeDocument/2006/relationships/hyperlink" Target="http://www.foodstandards.gov.au/code/proposals/Pages/P1034ChemicalMigrationfromPackagingintoFood.aspx" TargetMode="External"/><Relationship Id="rId1" Type="http://schemas.openxmlformats.org/officeDocument/2006/relationships/hyperlink" Target="http://www.foodstandards.gov.au/code/proposals/Pages/P1034ChemicalMigrationfromPackagingintoFood.aspx" TargetMode="External"/><Relationship Id="rId6" Type="http://schemas.openxmlformats.org/officeDocument/2006/relationships/hyperlink" Target="http://www.foodstandards.gov.au/code/proposals/Documents/P1034-Packaging-Consult-CFS.pdf" TargetMode="External"/><Relationship Id="rId5" Type="http://schemas.openxmlformats.org/officeDocument/2006/relationships/hyperlink" Target="http://www.foodstandards.gov.au/code/proposals/Documents/P1034-Packaging-CFS-SD7.pdf" TargetMode="External"/><Relationship Id="rId4" Type="http://schemas.openxmlformats.org/officeDocument/2006/relationships/hyperlink" Target="http://www.foodstandards.gov.au/code/proposals/Documents/P1034-Packaging-CFS-SD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40</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Evaluation</TermName>
          <TermId>43bd8487-b9f6-4055-946c-a118d364275d</TermId>
        </TermInfo>
      </Terms>
    </bd06d2da0152468b9236b575a71e0e7c>
    <_dlc_DocId xmlns="ff5de93e-c5e8-4efc-a1bd-21450292fcfe">X3VAMR3A5FUY-552-4224</_dlc_DocId>
    <_dlc_DocIdUrl xmlns="ff5de93e-c5e8-4efc-a1bd-21450292fcfe">
      <Url>http://teams/Sections/RAP/_layouts/15/DocIdRedir.aspx?ID=X3VAMR3A5FUY-552-4224</Url>
      <Description>X3VAMR3A5FUY-552-4224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D7995E-E8F2-4D0A-861A-813CF99782F6}"/>
</file>

<file path=customXml/itemProps2.xml><?xml version="1.0" encoding="utf-8"?>
<ds:datastoreItem xmlns:ds="http://schemas.openxmlformats.org/officeDocument/2006/customXml" ds:itemID="{390C6FC2-5480-489F-A912-C9D7A026E74C}"/>
</file>

<file path=customXml/itemProps3.xml><?xml version="1.0" encoding="utf-8"?>
<ds:datastoreItem xmlns:ds="http://schemas.openxmlformats.org/officeDocument/2006/customXml" ds:itemID="{663A5CE3-F74B-4FC6-A855-8877E803D1F8}"/>
</file>

<file path=customXml/itemProps4.xml><?xml version="1.0" encoding="utf-8"?>
<ds:datastoreItem xmlns:ds="http://schemas.openxmlformats.org/officeDocument/2006/customXml" ds:itemID="{B5D7995E-E8F2-4D0A-861A-813CF99782F6}"/>
</file>

<file path=customXml/itemProps5.xml><?xml version="1.0" encoding="utf-8"?>
<ds:datastoreItem xmlns:ds="http://schemas.openxmlformats.org/officeDocument/2006/customXml" ds:itemID="{390C6FC2-5480-489F-A912-C9D7A026E74C}"/>
</file>

<file path=customXml/itemProps6.xml><?xml version="1.0" encoding="utf-8"?>
<ds:datastoreItem xmlns:ds="http://schemas.openxmlformats.org/officeDocument/2006/customXml" ds:itemID="{7729491F-10D7-4A59-A7CA-72CA8B69B86A}"/>
</file>

<file path=docProps/app.xml><?xml version="1.0" encoding="utf-8"?>
<Properties xmlns="http://schemas.openxmlformats.org/officeDocument/2006/extended-properties" xmlns:vt="http://schemas.openxmlformats.org/officeDocument/2006/docPropsVTypes">
  <Template>Normal.dotm</Template>
  <TotalTime>66</TotalTime>
  <Pages>10</Pages>
  <Words>2167</Words>
  <Characters>12352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14491</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humphc</dc:creator>
  <cp:lastModifiedBy>humphc</cp:lastModifiedBy>
  <cp:revision>8</cp:revision>
  <cp:lastPrinted>2011-08-22T03:30:00Z</cp:lastPrinted>
  <dcterms:created xsi:type="dcterms:W3CDTF">2016-06-07T23:28:00Z</dcterms:created>
  <dcterms:modified xsi:type="dcterms:W3CDTF">2016-06-08T01:30:00Z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y fmtid="{D5CDD505-2E9C-101B-9397-08002B2CF9AE}" pid="3" name="DisposalClass">
    <vt:lpwstr/>
  </property>
  <property fmtid="{D5CDD505-2E9C-101B-9397-08002B2CF9AE}" pid="4" name="BCS_">
    <vt:lpwstr>40;#Evaluation|43bd8487-b9f6-4055-946c-a118d364275d</vt:lpwstr>
  </property>
  <property fmtid="{D5CDD505-2E9C-101B-9397-08002B2CF9AE}" pid="5" name="_dlc_DocIdItemGuid">
    <vt:lpwstr>5a98acb3-ed91-4e06-b74f-6fbda4a453b5</vt:lpwstr>
  </property>
</Properties>
</file>